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005286" w:rsidP="00005286">
      <w:pPr>
        <w:jc w:val="center"/>
        <w:rPr>
          <w:b/>
        </w:rPr>
      </w:pPr>
      <w:r w:rsidRPr="00005286">
        <w:rPr>
          <w:b/>
        </w:rPr>
        <w:t>Risk in Financia</w:t>
      </w:r>
      <w:r>
        <w:rPr>
          <w:b/>
        </w:rPr>
        <w:t>l S</w:t>
      </w:r>
      <w:r w:rsidRPr="00005286">
        <w:rPr>
          <w:b/>
        </w:rPr>
        <w:t>ervices</w:t>
      </w:r>
    </w:p>
    <w:p w:rsidR="00005286" w:rsidRDefault="00005286" w:rsidP="00005286">
      <w:pPr>
        <w:spacing w:after="0"/>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005286" w:rsidTr="00005286">
        <w:tc>
          <w:tcPr>
            <w:tcW w:w="846" w:type="dxa"/>
          </w:tcPr>
          <w:p w:rsidR="00005286" w:rsidRDefault="00005286" w:rsidP="00E63E6B">
            <w:pPr>
              <w:jc w:val="center"/>
              <w:rPr>
                <w:rFonts w:ascii="Arial" w:hAnsi="Arial" w:cs="Arial"/>
                <w:b/>
                <w:bCs/>
                <w:color w:val="000000"/>
                <w:sz w:val="20"/>
                <w:szCs w:val="20"/>
              </w:rPr>
            </w:pPr>
            <w:proofErr w:type="spellStart"/>
            <w:r>
              <w:rPr>
                <w:rFonts w:ascii="Arial" w:hAnsi="Arial" w:cs="Arial"/>
                <w:b/>
                <w:bCs/>
                <w:color w:val="000000"/>
                <w:sz w:val="20"/>
                <w:szCs w:val="20"/>
              </w:rPr>
              <w:t>S.No</w:t>
            </w:r>
            <w:proofErr w:type="spellEnd"/>
            <w:r>
              <w:rPr>
                <w:rFonts w:ascii="Arial" w:hAnsi="Arial" w:cs="Arial"/>
                <w:b/>
                <w:bCs/>
                <w:color w:val="000000"/>
                <w:sz w:val="20"/>
                <w:szCs w:val="20"/>
              </w:rPr>
              <w:t>.</w:t>
            </w:r>
          </w:p>
        </w:tc>
        <w:tc>
          <w:tcPr>
            <w:tcW w:w="8170" w:type="dxa"/>
          </w:tcPr>
          <w:p w:rsidR="00005286" w:rsidRDefault="00E63E6B" w:rsidP="00E63E6B">
            <w:pPr>
              <w:jc w:val="center"/>
              <w:rPr>
                <w:rFonts w:ascii="Arial" w:hAnsi="Arial" w:cs="Arial"/>
                <w:b/>
                <w:bCs/>
                <w:color w:val="000000"/>
                <w:sz w:val="20"/>
                <w:szCs w:val="20"/>
              </w:rPr>
            </w:pPr>
            <w:r>
              <w:rPr>
                <w:rFonts w:ascii="Arial" w:hAnsi="Arial" w:cs="Arial"/>
                <w:b/>
                <w:bCs/>
                <w:color w:val="000000"/>
                <w:sz w:val="20"/>
                <w:szCs w:val="20"/>
              </w:rPr>
              <w:t>RBI Notification</w:t>
            </w:r>
          </w:p>
        </w:tc>
      </w:tr>
      <w:tr w:rsidR="00005286" w:rsidTr="00005286">
        <w:tc>
          <w:tcPr>
            <w:tcW w:w="846" w:type="dxa"/>
          </w:tcPr>
          <w:p w:rsidR="00005286" w:rsidRPr="00E63E6B" w:rsidRDefault="00005286" w:rsidP="00E63E6B">
            <w:pPr>
              <w:pStyle w:val="ListParagraph"/>
              <w:numPr>
                <w:ilvl w:val="0"/>
                <w:numId w:val="7"/>
              </w:numPr>
              <w:jc w:val="center"/>
              <w:rPr>
                <w:rFonts w:ascii="Arial" w:hAnsi="Arial" w:cs="Arial"/>
                <w:bCs/>
                <w:color w:val="000000"/>
                <w:sz w:val="20"/>
                <w:szCs w:val="20"/>
              </w:rPr>
            </w:pPr>
          </w:p>
        </w:tc>
        <w:tc>
          <w:tcPr>
            <w:tcW w:w="8170" w:type="dxa"/>
          </w:tcPr>
          <w:p w:rsidR="00005286" w:rsidRPr="00E63E6B" w:rsidRDefault="00E63E6B" w:rsidP="00005286">
            <w:pPr>
              <w:jc w:val="both"/>
              <w:rPr>
                <w:rFonts w:ascii="Arial" w:hAnsi="Arial" w:cs="Arial"/>
                <w:bCs/>
                <w:color w:val="000000"/>
                <w:sz w:val="20"/>
                <w:szCs w:val="20"/>
              </w:rPr>
            </w:pPr>
            <w:r w:rsidRPr="00E63E6B">
              <w:rPr>
                <w:rFonts w:ascii="Arial" w:hAnsi="Arial" w:cs="Arial"/>
                <w:bCs/>
                <w:color w:val="000000"/>
                <w:sz w:val="20"/>
                <w:szCs w:val="20"/>
              </w:rPr>
              <w:t>Reserve Bank of India (Financial Statements - Presentation and Disclosures) Directions, 2021 - Reporting of reverse repos with Reserve Bank on the bank’s balance sheet</w:t>
            </w:r>
          </w:p>
        </w:tc>
      </w:tr>
      <w:tr w:rsidR="00E63E6B" w:rsidTr="008367F8">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Scale Based Regulation (SBR) for NBFCs: Capital requirements for Non-Banking Finance Companies – Upper Layer (NBFC-UL)</w:t>
            </w:r>
          </w:p>
        </w:tc>
      </w:tr>
      <w:tr w:rsidR="00E63E6B" w:rsidTr="008367F8">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Limits for investment in debt and sale of Credit Default Swaps by Foreign Portfolio Investors (FPIs)</w:t>
            </w:r>
          </w:p>
        </w:tc>
      </w:tr>
      <w:tr w:rsidR="00E63E6B" w:rsidTr="008367F8">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Loans and Advances – Regulatory Restrictions – NBFCs</w:t>
            </w:r>
          </w:p>
        </w:tc>
      </w:tr>
      <w:tr w:rsidR="00E63E6B" w:rsidTr="00B646BE">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Disclosures in Financial Statements- Notes to Accounts of NBFCs</w:t>
            </w:r>
          </w:p>
        </w:tc>
      </w:tr>
      <w:tr w:rsidR="00E63E6B" w:rsidTr="00B646BE">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Basel III Framework on Liquidity Standards – Liquidity Coverage Ratio (LCR)</w:t>
            </w:r>
          </w:p>
        </w:tc>
      </w:tr>
      <w:tr w:rsidR="00E63E6B" w:rsidTr="008936AE">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Master Circular - Management of Advances – UCBs</w:t>
            </w:r>
          </w:p>
        </w:tc>
      </w:tr>
      <w:tr w:rsidR="00E63E6B" w:rsidTr="008936AE">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Review of SLR holdings in HTM category</w:t>
            </w:r>
          </w:p>
        </w:tc>
      </w:tr>
      <w:tr w:rsidR="00E63E6B" w:rsidTr="008936AE">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Individual Housing Loans – Rationalisation of Risk Weights</w:t>
            </w:r>
          </w:p>
        </w:tc>
      </w:tr>
      <w:tr w:rsidR="00E63E6B" w:rsidTr="00005286">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Pr>
          <w:p w:rsidR="00E63E6B" w:rsidRPr="00E63E6B" w:rsidRDefault="00E63E6B" w:rsidP="00E63E6B">
            <w:pPr>
              <w:jc w:val="both"/>
              <w:rPr>
                <w:rFonts w:ascii="Arial" w:hAnsi="Arial" w:cs="Arial"/>
                <w:bCs/>
                <w:color w:val="000000"/>
                <w:sz w:val="20"/>
                <w:szCs w:val="20"/>
              </w:rPr>
            </w:pPr>
            <w:r w:rsidRPr="00E63E6B">
              <w:rPr>
                <w:rFonts w:ascii="Arial" w:hAnsi="Arial" w:cs="Arial"/>
                <w:bCs/>
                <w:color w:val="000000"/>
                <w:sz w:val="20"/>
                <w:szCs w:val="20"/>
              </w:rPr>
              <w:t>Master Circular – Basel III Capital Regulations</w:t>
            </w:r>
          </w:p>
        </w:tc>
      </w:tr>
      <w:tr w:rsidR="00E63E6B" w:rsidTr="00005286">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Pr>
          <w:p w:rsidR="00E63E6B" w:rsidRPr="00E63E6B" w:rsidRDefault="00E63E6B" w:rsidP="00E63E6B">
            <w:pPr>
              <w:jc w:val="both"/>
              <w:rPr>
                <w:rFonts w:ascii="Arial" w:hAnsi="Arial" w:cs="Arial"/>
                <w:bCs/>
                <w:color w:val="000000"/>
                <w:sz w:val="20"/>
                <w:szCs w:val="20"/>
              </w:rPr>
            </w:pPr>
            <w:r w:rsidRPr="00E63E6B">
              <w:rPr>
                <w:rFonts w:ascii="Arial" w:hAnsi="Arial" w:cs="Arial"/>
                <w:bCs/>
                <w:color w:val="000000"/>
                <w:sz w:val="20"/>
                <w:szCs w:val="20"/>
              </w:rPr>
              <w:t>Master Direction - Classification, Valuation and Operation of Investment Portfolio of Commercial Banks (Directions), 2021 – Amendment</w:t>
            </w:r>
          </w:p>
        </w:tc>
      </w:tr>
      <w:tr w:rsidR="00E63E6B" w:rsidTr="00005286">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Pr>
          <w:p w:rsidR="00E63E6B" w:rsidRPr="00E63E6B" w:rsidRDefault="00E63E6B" w:rsidP="00E63E6B">
            <w:pPr>
              <w:jc w:val="both"/>
              <w:rPr>
                <w:rFonts w:ascii="Arial" w:hAnsi="Arial" w:cs="Arial"/>
                <w:bCs/>
                <w:color w:val="000000"/>
                <w:sz w:val="20"/>
                <w:szCs w:val="20"/>
              </w:rPr>
            </w:pPr>
            <w:r w:rsidRPr="00E63E6B">
              <w:rPr>
                <w:rFonts w:ascii="Arial" w:hAnsi="Arial" w:cs="Arial"/>
                <w:bCs/>
                <w:color w:val="000000"/>
                <w:sz w:val="20"/>
                <w:szCs w:val="20"/>
              </w:rPr>
              <w:t>Bilateral Netting of Qualified Financial Contracts - Amendments to Prudential Guidelines</w:t>
            </w:r>
          </w:p>
        </w:tc>
      </w:tr>
      <w:tr w:rsidR="00E63E6B" w:rsidTr="00005286">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Pr>
          <w:p w:rsidR="00E63E6B" w:rsidRPr="00E63E6B" w:rsidRDefault="00E63E6B" w:rsidP="00E63E6B">
            <w:pPr>
              <w:jc w:val="both"/>
              <w:rPr>
                <w:rFonts w:ascii="Arial" w:hAnsi="Arial" w:cs="Arial"/>
                <w:bCs/>
                <w:color w:val="000000"/>
                <w:sz w:val="20"/>
                <w:szCs w:val="20"/>
              </w:rPr>
            </w:pPr>
            <w:r w:rsidRPr="00E63E6B">
              <w:rPr>
                <w:rFonts w:ascii="Arial" w:hAnsi="Arial" w:cs="Arial"/>
                <w:bCs/>
                <w:color w:val="000000"/>
                <w:sz w:val="20"/>
                <w:szCs w:val="20"/>
              </w:rPr>
              <w:t>Master Direction - Classification, Valuation and Operation of Investment Portfolio of Commercial Banks (Directions), 2021 – Amendment</w:t>
            </w:r>
          </w:p>
        </w:tc>
      </w:tr>
      <w:tr w:rsidR="00E63E6B" w:rsidTr="003C264B">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‘Voluntary Retention Route’ (VRR) for Foreign Portfolio Investors (FPIs) investment in debt</w:t>
            </w:r>
          </w:p>
        </w:tc>
      </w:tr>
      <w:tr w:rsidR="00E63E6B" w:rsidTr="003C264B">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Transactions in Credit Default Swap (CDS) by Foreign Portfolio Investors – Operational Instructions</w:t>
            </w:r>
          </w:p>
        </w:tc>
      </w:tr>
      <w:tr w:rsidR="00E63E6B" w:rsidTr="003C264B">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E63E6B" w:rsidRPr="00E63E6B" w:rsidRDefault="00E63E6B" w:rsidP="00E63E6B">
            <w:pPr>
              <w:rPr>
                <w:rFonts w:ascii="Arial" w:hAnsi="Arial" w:cs="Arial"/>
                <w:color w:val="000000"/>
                <w:sz w:val="20"/>
                <w:szCs w:val="20"/>
              </w:rPr>
            </w:pPr>
            <w:r w:rsidRPr="00E63E6B">
              <w:rPr>
                <w:rFonts w:ascii="Arial" w:hAnsi="Arial" w:cs="Arial"/>
                <w:color w:val="000000"/>
                <w:sz w:val="20"/>
                <w:szCs w:val="20"/>
              </w:rPr>
              <w:t>Master Direction – Reserve Bank of India (Credit Derivatives) Directions, 2022</w:t>
            </w:r>
          </w:p>
        </w:tc>
      </w:tr>
      <w:tr w:rsidR="00E63E6B" w:rsidTr="00005286">
        <w:tc>
          <w:tcPr>
            <w:tcW w:w="846" w:type="dxa"/>
          </w:tcPr>
          <w:p w:rsidR="00E63E6B" w:rsidRPr="00E63E6B" w:rsidRDefault="00E63E6B" w:rsidP="00E63E6B">
            <w:pPr>
              <w:pStyle w:val="ListParagraph"/>
              <w:numPr>
                <w:ilvl w:val="0"/>
                <w:numId w:val="7"/>
              </w:numPr>
              <w:jc w:val="center"/>
              <w:rPr>
                <w:rFonts w:ascii="Arial" w:hAnsi="Arial" w:cs="Arial"/>
                <w:bCs/>
                <w:color w:val="000000"/>
                <w:sz w:val="20"/>
                <w:szCs w:val="20"/>
              </w:rPr>
            </w:pPr>
          </w:p>
        </w:tc>
        <w:tc>
          <w:tcPr>
            <w:tcW w:w="8170" w:type="dxa"/>
          </w:tcPr>
          <w:p w:rsidR="00E63E6B" w:rsidRPr="00E63E6B" w:rsidRDefault="00E63E6B" w:rsidP="00E63E6B">
            <w:pPr>
              <w:jc w:val="both"/>
              <w:rPr>
                <w:rFonts w:ascii="Arial" w:hAnsi="Arial" w:cs="Arial"/>
                <w:bCs/>
                <w:color w:val="000000"/>
                <w:sz w:val="20"/>
                <w:szCs w:val="20"/>
              </w:rPr>
            </w:pPr>
            <w:r w:rsidRPr="00E63E6B">
              <w:rPr>
                <w:rFonts w:ascii="Arial" w:hAnsi="Arial" w:cs="Arial"/>
                <w:bCs/>
                <w:color w:val="000000"/>
                <w:sz w:val="20"/>
                <w:szCs w:val="20"/>
              </w:rPr>
              <w:t>Retail Direct Scheme – Market Making</w:t>
            </w:r>
          </w:p>
        </w:tc>
      </w:tr>
    </w:tbl>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Reserve Bank of India (Financial Statements - Presentation and Disclosures) Directions, 2021 - Reporting of reverse repos with Reserve Bank on the bank’s balance sheet</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RBI/2022-23/55</w:t>
      </w:r>
      <w:r w:rsidRPr="00470480">
        <w:rPr>
          <w:rFonts w:ascii="Arial" w:hAnsi="Arial" w:cs="Arial"/>
          <w:color w:val="000000"/>
          <w:sz w:val="20"/>
          <w:szCs w:val="20"/>
        </w:rPr>
        <w:br/>
        <w:t>DOR.ACC.REC.No.37/21.04.018/2022-23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May 19,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Reserve Bank of India (Financial Statements - Presentation and Disclosures) Directions, 2021 - Reporting of reverse repos with Reserve Bank on the bank’s balance sheet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the ‘Notes and Instructions for Compilation’ given in Part A of Annexure II to the </w:t>
      </w:r>
      <w:hyperlink r:id="rId5"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regarding the reporting of reverse repo transactions by the banks on their balance sheet.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In order to bring more clarity on the presentation of reverse repo on the balance sheet, it has now been decided as under: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 All type of reverse repos with the Reserve Bank including those under Liquidity Adjustment Facility shall be presented under sub-item (ii) ‘In Other Accounts’ of item (II) ‘Balances with Reserve Bank of India’ under Schedule 6 ‘Cash and balances with Reserve Bank of India’.</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lastRenderedPageBreak/>
        <w:t>(b) Reverse repos with banks and other institutions having original tenors up to and inclusive of 14 days shall be classified under item (ii) ‘Money at call and short notice’ under Schedule 7 ‘Balances with banks and money at call and short notice’.</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(c) Reverse repos with banks and other institutions having original tenors more than 14 days shall be classified under Schedule 9 – ‘Advances’ under the following heads:</w:t>
      </w:r>
    </w:p>
    <w:p w:rsidR="00005286" w:rsidRPr="00470480" w:rsidRDefault="00005286" w:rsidP="00005286">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A.(ii) ‘Cash credits, overdrafts and loans repayable on demand’</w:t>
      </w:r>
    </w:p>
    <w:p w:rsidR="00005286" w:rsidRPr="00470480" w:rsidRDefault="00005286" w:rsidP="00005286">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B.(</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‘Secured by tangible assets’</w:t>
      </w:r>
    </w:p>
    <w:p w:rsidR="00005286" w:rsidRPr="00470480" w:rsidRDefault="00005286" w:rsidP="00005286">
      <w:pPr>
        <w:pStyle w:val="NormalWeb"/>
        <w:numPr>
          <w:ilvl w:val="0"/>
          <w:numId w:val="1"/>
        </w:numPr>
        <w:ind w:left="0"/>
        <w:jc w:val="both"/>
        <w:rPr>
          <w:rFonts w:ascii="Arial" w:hAnsi="Arial" w:cs="Arial"/>
          <w:color w:val="000000"/>
          <w:sz w:val="20"/>
          <w:szCs w:val="20"/>
        </w:rPr>
      </w:pPr>
      <w:r w:rsidRPr="00470480">
        <w:rPr>
          <w:rFonts w:ascii="Arial" w:hAnsi="Arial" w:cs="Arial"/>
          <w:color w:val="000000"/>
          <w:sz w:val="20"/>
          <w:szCs w:val="20"/>
        </w:rPr>
        <w:t>C.(I</w:t>
      </w:r>
      <w:proofErr w:type="gramStart"/>
      <w:r w:rsidRPr="00470480">
        <w:rPr>
          <w:rFonts w:ascii="Arial" w:hAnsi="Arial" w:cs="Arial"/>
          <w:color w:val="000000"/>
          <w:sz w:val="20"/>
          <w:szCs w:val="20"/>
        </w:rPr>
        <w:t>).(</w:t>
      </w:r>
      <w:proofErr w:type="gramEnd"/>
      <w:r w:rsidRPr="00470480">
        <w:rPr>
          <w:rFonts w:ascii="Arial" w:hAnsi="Arial" w:cs="Arial"/>
          <w:color w:val="000000"/>
          <w:sz w:val="20"/>
          <w:szCs w:val="20"/>
        </w:rPr>
        <w:t>iii) Banks (iv) ‘Others’ (as the case may be)</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In addition, certain sections in the said Directions are being updated for editorial corrections as given in the </w:t>
      </w:r>
      <w:hyperlink r:id="rId6" w:anchor="A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The </w:t>
      </w:r>
      <w:hyperlink r:id="rId7" w:tgtFrame="_blank" w:history="1">
        <w:r w:rsidRPr="00470480">
          <w:rPr>
            <w:rStyle w:val="Hyperlink"/>
            <w:rFonts w:ascii="Arial" w:hAnsi="Arial" w:cs="Arial"/>
            <w:sz w:val="20"/>
            <w:szCs w:val="20"/>
          </w:rPr>
          <w:t>Reserve Bank of India (Financial Statements - Presentation and Disclosures) Directions, 2021</w:t>
        </w:r>
      </w:hyperlink>
      <w:r w:rsidRPr="00470480">
        <w:rPr>
          <w:rFonts w:ascii="Arial" w:hAnsi="Arial" w:cs="Arial"/>
          <w:color w:val="000000"/>
          <w:sz w:val="20"/>
          <w:szCs w:val="20"/>
        </w:rPr>
        <w:t>, stands updated to reflect these changes.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8" w:history="1">
        <w:r w:rsidRPr="00470480">
          <w:rPr>
            <w:rStyle w:val="Hyperlink"/>
            <w:rFonts w:ascii="Arial" w:hAnsi="Arial" w:cs="Arial"/>
            <w:sz w:val="20"/>
            <w:szCs w:val="20"/>
          </w:rPr>
          <w:t>https://www.rbi.org.in/Scripts/NotificationUser.aspx?Id=12322&amp;Mode=0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E63E6B" w:rsidRDefault="00E63E6B"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bookmarkStart w:id="0" w:name="_GoBack"/>
      <w:bookmarkEnd w:id="0"/>
      <w:r w:rsidRPr="00470480">
        <w:rPr>
          <w:rFonts w:ascii="Arial" w:hAnsi="Arial" w:cs="Arial"/>
          <w:b/>
          <w:bCs/>
          <w:color w:val="000000"/>
          <w:sz w:val="20"/>
          <w:szCs w:val="20"/>
        </w:rPr>
        <w:t>Scale Based Regulation (SBR) for NBFCs: Capital requirements for Non-Banking Finance Companies – Upper Layer (NBFC-UL)</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RBI/2022-23/30</w:t>
      </w:r>
      <w:r w:rsidRPr="00470480">
        <w:rPr>
          <w:rFonts w:ascii="Arial" w:hAnsi="Arial" w:cs="Arial"/>
          <w:color w:val="000000"/>
          <w:sz w:val="20"/>
          <w:szCs w:val="20"/>
        </w:rPr>
        <w:br/>
        <w:t>DOR.CAP.REC.No.21/21.06.201/2022-23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Scale Based Regulation (SBR) for NBFCs: Capital requirements for Non-Banking Finance Companies – Upper Layer (NBFC-UL)</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9"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In terms of paragraph 3.2.1 (b) of the circular ibid, NBFC-UL shall maintain Common Equity Tier 1 capital of at least 9 per cent of Risk Weighted Assets. The detailed guidelines in this regard are provided below:</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3.1. NBFC-UL shall maintain, on an on-going basis, Common Equity Tier 1 (CET1) ratio of at least 9 per cent, where,</w:t>
      </w:r>
    </w:p>
    <w:p w:rsidR="00005286" w:rsidRPr="00470480" w:rsidRDefault="00005286" w:rsidP="00005286">
      <w:pPr>
        <w:jc w:val="center"/>
        <w:rPr>
          <w:rFonts w:ascii="Arial" w:hAnsi="Arial" w:cs="Arial"/>
          <w:color w:val="000000"/>
          <w:sz w:val="20"/>
          <w:szCs w:val="20"/>
        </w:rPr>
      </w:pPr>
      <w:r w:rsidRPr="00470480">
        <w:rPr>
          <w:rFonts w:ascii="Arial" w:hAnsi="Arial" w:cs="Arial"/>
          <w:noProof/>
          <w:color w:val="000000"/>
          <w:sz w:val="20"/>
          <w:szCs w:val="20"/>
          <w:lang w:eastAsia="en-IN"/>
        </w:rPr>
        <w:drawing>
          <wp:inline distT="0" distB="0" distL="0" distR="0" wp14:anchorId="21C6E566" wp14:editId="665B4954">
            <wp:extent cx="5048250" cy="542925"/>
            <wp:effectExtent l="0" t="0" r="0" b="9525"/>
            <wp:docPr id="1" name="Picture 1" descr="Common Equity Tier 1 (CET1)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on Equity Tier 1 (CET1) rati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542925"/>
                    </a:xfrm>
                    <a:prstGeom prst="rect">
                      <a:avLst/>
                    </a:prstGeom>
                    <a:noFill/>
                    <a:ln>
                      <a:noFill/>
                    </a:ln>
                  </pic:spPr>
                </pic:pic>
              </a:graphicData>
            </a:graphic>
          </wp:inline>
        </w:drawing>
      </w:r>
    </w:p>
    <w:p w:rsidR="00005286"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r>
        <w:rPr>
          <w:rFonts w:ascii="Arial" w:hAnsi="Arial" w:cs="Arial"/>
          <w:sz w:val="20"/>
          <w:szCs w:val="20"/>
        </w:rPr>
        <w:t xml:space="preserve">For more details, </w:t>
      </w:r>
      <w:r>
        <w:t>the link to the notification is placed below.</w:t>
      </w: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11" w:history="1">
        <w:r w:rsidRPr="00470480">
          <w:rPr>
            <w:rStyle w:val="Hyperlink"/>
            <w:rFonts w:ascii="Arial" w:hAnsi="Arial" w:cs="Arial"/>
            <w:sz w:val="20"/>
            <w:szCs w:val="20"/>
          </w:rPr>
          <w:t>https://www.rbi.org.in/Scripts/NotificationUser.aspx?Id=12296&amp;Mode=0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To,</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2"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005286" w:rsidRPr="00470480" w:rsidRDefault="00005286" w:rsidP="00005286">
      <w:pPr>
        <w:pStyle w:val="NormalWeb"/>
        <w:numPr>
          <w:ilvl w:val="0"/>
          <w:numId w:val="2"/>
        </w:numPr>
        <w:ind w:left="0"/>
        <w:jc w:val="both"/>
        <w:rPr>
          <w:rFonts w:ascii="Arial" w:hAnsi="Arial" w:cs="Arial"/>
          <w:color w:val="000000"/>
          <w:sz w:val="20"/>
          <w:szCs w:val="20"/>
        </w:rPr>
      </w:pPr>
      <w:hyperlink r:id="rId13"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005286" w:rsidRPr="00470480" w:rsidRDefault="00005286" w:rsidP="00005286">
      <w:pPr>
        <w:pStyle w:val="NormalWeb"/>
        <w:numPr>
          <w:ilvl w:val="0"/>
          <w:numId w:val="2"/>
        </w:numPr>
        <w:ind w:left="0"/>
        <w:jc w:val="both"/>
        <w:rPr>
          <w:rFonts w:ascii="Arial" w:hAnsi="Arial" w:cs="Arial"/>
          <w:color w:val="000000"/>
          <w:sz w:val="20"/>
          <w:szCs w:val="20"/>
        </w:rPr>
      </w:pPr>
      <w:hyperlink r:id="rId14" w:tgtFrame="_blank" w:history="1">
        <w:r w:rsidRPr="00470480">
          <w:rPr>
            <w:rStyle w:val="Hyperlink"/>
            <w:rFonts w:ascii="Arial" w:hAnsi="Arial" w:cs="Arial"/>
            <w:sz w:val="20"/>
            <w:szCs w:val="20"/>
          </w:rPr>
          <w:t>Circular No. FMRD.FMSD.No.25/14.01.006/2019-20 dated March 30, 2020</w:t>
        </w:r>
      </w:hyperlink>
      <w:r w:rsidRPr="00470480">
        <w:rPr>
          <w:rFonts w:ascii="Arial" w:hAnsi="Arial" w:cs="Arial"/>
          <w:color w:val="000000"/>
          <w:sz w:val="20"/>
          <w:szCs w:val="20"/>
        </w:rPr>
        <w:t>;</w:t>
      </w:r>
    </w:p>
    <w:p w:rsidR="00005286" w:rsidRPr="00470480" w:rsidRDefault="00005286" w:rsidP="00005286">
      <w:pPr>
        <w:pStyle w:val="NormalWeb"/>
        <w:numPr>
          <w:ilvl w:val="0"/>
          <w:numId w:val="2"/>
        </w:numPr>
        <w:ind w:left="0"/>
        <w:jc w:val="both"/>
        <w:rPr>
          <w:rFonts w:ascii="Arial" w:hAnsi="Arial" w:cs="Arial"/>
          <w:color w:val="000000"/>
          <w:sz w:val="20"/>
          <w:szCs w:val="20"/>
        </w:rPr>
      </w:pPr>
      <w:hyperlink r:id="rId15" w:tgtFrame="_blank" w:history="1">
        <w:r w:rsidRPr="00470480">
          <w:rPr>
            <w:rStyle w:val="Hyperlink"/>
            <w:rFonts w:ascii="Arial" w:hAnsi="Arial" w:cs="Arial"/>
            <w:sz w:val="20"/>
            <w:szCs w:val="20"/>
          </w:rPr>
          <w:t>A.P. (DIR Series) Circular No. 05 dated May 31, 2021</w:t>
        </w:r>
      </w:hyperlink>
      <w:r w:rsidRPr="00470480">
        <w:rPr>
          <w:rFonts w:ascii="Arial" w:hAnsi="Arial" w:cs="Arial"/>
          <w:color w:val="000000"/>
          <w:sz w:val="20"/>
          <w:szCs w:val="20"/>
        </w:rPr>
        <w:t>; and</w:t>
      </w:r>
    </w:p>
    <w:p w:rsidR="00005286" w:rsidRPr="00470480" w:rsidRDefault="00005286" w:rsidP="00005286">
      <w:pPr>
        <w:pStyle w:val="NormalWeb"/>
        <w:numPr>
          <w:ilvl w:val="0"/>
          <w:numId w:val="2"/>
        </w:numPr>
        <w:ind w:left="0"/>
        <w:jc w:val="both"/>
        <w:rPr>
          <w:rFonts w:ascii="Arial" w:hAnsi="Arial" w:cs="Arial"/>
          <w:color w:val="000000"/>
          <w:sz w:val="20"/>
          <w:szCs w:val="20"/>
        </w:rPr>
      </w:pPr>
      <w:hyperlink r:id="rId16" w:tgtFrame="_blank" w:history="1">
        <w:r w:rsidRPr="00470480">
          <w:rPr>
            <w:rStyle w:val="Hyperlink"/>
            <w:rFonts w:ascii="Arial" w:hAnsi="Arial" w:cs="Arial"/>
            <w:sz w:val="20"/>
            <w:szCs w:val="20"/>
          </w:rPr>
          <w:t>A.P. (DIR Series) Circular No. 23 dated February 10, 2022</w:t>
        </w:r>
      </w:hyperlink>
      <w:r w:rsidRPr="00470480">
        <w:rPr>
          <w:rFonts w:ascii="Arial" w:hAnsi="Arial" w:cs="Arial"/>
          <w:color w:val="000000"/>
          <w:sz w:val="20"/>
          <w:szCs w:val="20"/>
        </w:rPr>
        <w:t>.</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005286" w:rsidRPr="00470480" w:rsidRDefault="00005286" w:rsidP="0000528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005286" w:rsidRPr="00470480" w:rsidRDefault="00005286" w:rsidP="0000528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7"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005286" w:rsidRPr="00470480" w:rsidRDefault="00005286" w:rsidP="0000528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005286" w:rsidRDefault="00005286" w:rsidP="00005286">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005286" w:rsidRDefault="00005286" w:rsidP="00005286">
      <w:pPr>
        <w:pStyle w:val="NormalWeb"/>
        <w:jc w:val="both"/>
        <w:rPr>
          <w:rFonts w:ascii="Arial" w:hAnsi="Arial" w:cs="Arial"/>
          <w:color w:val="000000"/>
          <w:sz w:val="20"/>
          <w:szCs w:val="20"/>
        </w:rPr>
      </w:pPr>
    </w:p>
    <w:p w:rsidR="00005286" w:rsidRPr="005F6218" w:rsidRDefault="00005286" w:rsidP="00005286">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18" w:history="1">
        <w:r w:rsidRPr="00470480">
          <w:rPr>
            <w:rStyle w:val="Hyperlink"/>
            <w:rFonts w:ascii="Arial" w:hAnsi="Arial" w:cs="Arial"/>
            <w:sz w:val="20"/>
            <w:szCs w:val="20"/>
          </w:rPr>
          <w:t>https://www.rbi.org.in/Scripts/NotificationUser.aspx?Id=12295&amp;Mode=0</w:t>
        </w:r>
      </w:hyperlink>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ab/>
      </w: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Loans and Advances – Regulatory Restrictions – NBFCs</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RBI/2022-23/29</w:t>
      </w:r>
      <w:r w:rsidRPr="00470480">
        <w:rPr>
          <w:rFonts w:ascii="Arial" w:hAnsi="Arial" w:cs="Arial"/>
          <w:color w:val="000000"/>
          <w:sz w:val="20"/>
          <w:szCs w:val="20"/>
        </w:rPr>
        <w:br/>
        <w:t>DOR.CRE.REC.No.25/03.10.001/2022-23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In terms of para 3.2.2 (c) and para 3.2.3 (b) &amp; (c) of the </w:t>
      </w:r>
      <w:hyperlink r:id="rId19" w:tgtFrame="_blank" w:history="1">
        <w:r w:rsidRPr="00470480">
          <w:rPr>
            <w:rStyle w:val="Hyperlink"/>
            <w:rFonts w:ascii="Arial" w:hAnsi="Arial" w:cs="Arial"/>
            <w:sz w:val="20"/>
            <w:szCs w:val="20"/>
          </w:rPr>
          <w:t>circular on Scale Based Regulation (SBR): A Revised Regulatory Framework for NBFCs issued on October 22, 2021</w:t>
        </w:r>
      </w:hyperlink>
      <w:r w:rsidRPr="00470480">
        <w:rPr>
          <w:rFonts w:ascii="Arial" w:hAnsi="Arial" w:cs="Arial"/>
          <w:color w:val="000000"/>
          <w:sz w:val="20"/>
          <w:szCs w:val="20"/>
        </w:rPr>
        <w:t>, certain regulatory restrictions on lending were introduced in respect of NBFCs placed in different layers. Detailed guidelines in this regard are placed as </w:t>
      </w:r>
      <w:hyperlink r:id="rId20" w:anchor="AN" w:history="1">
        <w:r w:rsidRPr="00470480">
          <w:rPr>
            <w:rStyle w:val="Hyperlink"/>
            <w:rFonts w:ascii="Arial" w:hAnsi="Arial" w:cs="Arial"/>
            <w:sz w:val="20"/>
            <w:szCs w:val="20"/>
          </w:rPr>
          <w:t>Annex</w:t>
        </w:r>
      </w:hyperlink>
      <w:r w:rsidRPr="00470480">
        <w:rPr>
          <w:rFonts w:ascii="Arial" w:hAnsi="Arial" w:cs="Arial"/>
          <w:color w:val="000000"/>
          <w:sz w:val="20"/>
          <w:szCs w:val="20"/>
        </w:rPr>
        <w:t> to this circular.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These guidelines shall be effective from October 01,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005286"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21" w:history="1">
        <w:r w:rsidRPr="00470480">
          <w:rPr>
            <w:rStyle w:val="Hyperlink"/>
            <w:rFonts w:ascii="Arial" w:hAnsi="Arial" w:cs="Arial"/>
            <w:sz w:val="20"/>
            <w:szCs w:val="20"/>
          </w:rPr>
          <w:t>https://www.rbi.org.in/Scripts/NotificationUser.aspx?Id=12294&amp;Mode=0</w:t>
        </w:r>
      </w:hyperlink>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ab/>
      </w: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Disclosures in Financial Statements- Notes to Accounts of NBFCs</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RBI/2022-23/26</w:t>
      </w:r>
      <w:r w:rsidRPr="00470480">
        <w:rPr>
          <w:rFonts w:ascii="Arial" w:hAnsi="Arial" w:cs="Arial"/>
          <w:color w:val="000000"/>
          <w:sz w:val="20"/>
          <w:szCs w:val="20"/>
        </w:rPr>
        <w:br/>
        <w:t>DOR.ACC.REC.No.20/21.04.018/2022-23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005286" w:rsidRPr="00470480" w:rsidRDefault="00005286" w:rsidP="00005286">
      <w:pPr>
        <w:pStyle w:val="head"/>
        <w:jc w:val="center"/>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2"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which inter-alia envisages certain specific disclosures.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Non-Banking Finance Companies (NBFCs) are required to make disclosures in their financial statements in accordance with existing prudential guidelines, applicable accounting standards, laws, and regulations. The additional disclosure requirements for NBFCs in accordance with the SBR framework are outlined in the </w:t>
      </w:r>
      <w:hyperlink r:id="rId23" w:tgtFrame="_blank"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These disclosures are in addition to and not in substitution of the disclosure requirements specified under other laws, regulations, or accounting and financial reporting standards. More comprehensive disclosures than the minimum required are encouraged, especially if such disclosures significantly aid in the understanding of the financial position and performance.</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NBFCs. The Annex specifies the applicability of specific disclosure requirements to specific NBFC layers as per Scale Based Regulation. It may be noted that disclosure requirements applicable to lower layers of NBFCs will be applicable to NBFCs in higher layers. These guidelines shall be effective for annual financial statements for year ending March 31, 2023, and onwards.</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Links: </w:t>
      </w:r>
      <w:hyperlink r:id="rId24" w:history="1">
        <w:r w:rsidRPr="00470480">
          <w:rPr>
            <w:rStyle w:val="Hyperlink"/>
            <w:rFonts w:ascii="Arial" w:hAnsi="Arial" w:cs="Arial"/>
            <w:sz w:val="20"/>
            <w:szCs w:val="20"/>
          </w:rPr>
          <w:t>https://www.rbi.org.in/Scripts/NotificationUser.aspx?Id=12292&amp;Mode=0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Basel III Framework on Liquidity Standards – Liquidity Coverage Ratio (LCR)</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RBI/2022-23/25</w:t>
      </w:r>
      <w:r w:rsidRPr="00470480">
        <w:rPr>
          <w:rFonts w:ascii="Arial" w:hAnsi="Arial" w:cs="Arial"/>
          <w:color w:val="000000"/>
          <w:sz w:val="20"/>
          <w:szCs w:val="20"/>
        </w:rPr>
        <w:br/>
        <w:t>DOR.LRG.REC.19/21.04.098/2022-23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18,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5" w:tgtFrame="_blank" w:history="1">
        <w:r w:rsidRPr="00470480">
          <w:rPr>
            <w:rStyle w:val="Hyperlink"/>
            <w:rFonts w:ascii="Arial" w:hAnsi="Arial" w:cs="Arial"/>
            <w:sz w:val="20"/>
            <w:szCs w:val="20"/>
          </w:rPr>
          <w:t>circular DOR.BP.BC.No.65/21.04.098/2019-20 dated April 17, 2020</w:t>
        </w:r>
      </w:hyperlink>
      <w:r w:rsidRPr="00470480">
        <w:rPr>
          <w:rFonts w:ascii="Arial" w:hAnsi="Arial" w:cs="Arial"/>
          <w:color w:val="000000"/>
          <w:sz w:val="20"/>
          <w:szCs w:val="20"/>
        </w:rPr>
        <w:t> on Basel III Framework on Liquidity Standards – Liquidity Coverage Ratio (LCR).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In terms of the circular ibid, the assets allowed as Level 1 High Quality Liquid Assets (HQLAs) for the purpose of computing the LCR, inter alia, include (a) Government securities in excess of the mandatory SLR requirement and (b) within the mandatory SLR requirement, Government securities to the extent allowed under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Marginal Standing Facility (MSF) and (ii) Facility to Avail Liquidity for Liquidity Coverage Ratio (FALLCR) [15 per cent of the banks’ Net Demand and Time Liabilities (NDTL)].</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Since MSF has been reduced to 2 per cent from 3 per cent of NDTL from January 1, 2022, the total HQLA carve out from the mandatory SLR, which can be reckoned for meeting LCR requirement, has reduced to 17 per cent of NDTL (2 per cent MSF plus 15 per cent FALLCR) from 18 percent.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On a review, it has been decided to permit banks to reckon Government securities as Level 1 HQLA under FALLCR within the mandatory SLR requirement up to 16 per cent of their NDTL. Accordingly, the total HQLA carve out from the mandatory SLR, which can be reckoned for meeting LCR requirement will be 18 per cent of NDTL (2 per cent MSF plus 16 per cent FALLCR).</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5. This circular is applicable to all Commercial Banks other than Regional Rural Banks, Local Area Banks and Payments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6. These instructions shall come into force with immediate effect.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Pr="00470480" w:rsidRDefault="00005286" w:rsidP="00005286">
      <w:pPr>
        <w:pStyle w:val="NormalWeb"/>
        <w:rPr>
          <w:rFonts w:ascii="Arial" w:hAnsi="Arial" w:cs="Arial"/>
          <w:color w:val="000000"/>
          <w:sz w:val="20"/>
          <w:szCs w:val="20"/>
        </w:rPr>
      </w:pP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6" w:history="1">
        <w:r w:rsidRPr="00470480">
          <w:rPr>
            <w:rStyle w:val="Hyperlink"/>
            <w:rFonts w:ascii="Arial" w:hAnsi="Arial" w:cs="Arial"/>
            <w:sz w:val="20"/>
            <w:szCs w:val="20"/>
          </w:rPr>
          <w:t>https://www.rbi.org.in/Scripts/NotificationUser.aspx?Id=12291&amp;Mode=0</w:t>
        </w:r>
      </w:hyperlink>
    </w:p>
    <w:p w:rsidR="00005286" w:rsidRPr="00470480" w:rsidRDefault="00005286" w:rsidP="00005286">
      <w:pPr>
        <w:pStyle w:val="NormalWeb"/>
        <w:rPr>
          <w:rFonts w:ascii="Arial" w:hAnsi="Arial" w:cs="Arial"/>
          <w:color w:val="000000"/>
          <w:sz w:val="20"/>
          <w:szCs w:val="20"/>
        </w:rPr>
      </w:pPr>
    </w:p>
    <w:p w:rsidR="00005286" w:rsidRPr="00470480" w:rsidRDefault="00005286" w:rsidP="00005286">
      <w:pPr>
        <w:pStyle w:val="NormalWeb"/>
        <w:rPr>
          <w:rFonts w:ascii="Arial" w:hAnsi="Arial" w:cs="Arial"/>
          <w:color w:val="000000"/>
          <w:sz w:val="20"/>
          <w:szCs w:val="20"/>
        </w:rPr>
      </w:pPr>
    </w:p>
    <w:p w:rsidR="00005286" w:rsidRPr="00470480" w:rsidRDefault="00005286" w:rsidP="00005286">
      <w:pPr>
        <w:pStyle w:val="NormalWeb"/>
        <w:rPr>
          <w:rFonts w:ascii="Arial" w:hAnsi="Arial" w:cs="Arial"/>
          <w:color w:val="000000"/>
          <w:sz w:val="20"/>
          <w:szCs w:val="20"/>
        </w:rPr>
      </w:pPr>
    </w:p>
    <w:p w:rsidR="00005286" w:rsidRDefault="00005286">
      <w:r>
        <w:br w:type="page"/>
      </w: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Management of Advances – UCBs</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RBI/2022-23/22</w:t>
      </w:r>
      <w:r w:rsidRPr="00470480">
        <w:rPr>
          <w:rFonts w:ascii="Arial" w:hAnsi="Arial" w:cs="Arial"/>
          <w:color w:val="000000"/>
          <w:sz w:val="20"/>
          <w:szCs w:val="20"/>
        </w:rPr>
        <w:br/>
        <w:t>DOR.CRE.REC.No.17/13.05.000/2022-23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Management of Advances - UCBs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7" w:tgtFrame="_blank" w:history="1">
        <w:r w:rsidRPr="00470480">
          <w:rPr>
            <w:rStyle w:val="Hyperlink"/>
            <w:rFonts w:ascii="Arial" w:hAnsi="Arial" w:cs="Arial"/>
            <w:sz w:val="20"/>
            <w:szCs w:val="20"/>
          </w:rPr>
          <w:t>Master Circular DCBR.BPD.(PCB) MC No.14/13.05.000/2015-16 dated July 1, 2015</w:t>
        </w:r>
      </w:hyperlink>
      <w:r w:rsidRPr="00470480">
        <w:rPr>
          <w:rFonts w:ascii="Arial" w:hAnsi="Arial" w:cs="Arial"/>
          <w:color w:val="000000"/>
          <w:sz w:val="20"/>
          <w:szCs w:val="20"/>
        </w:rPr>
        <w:t> on the captioned subject. The enclosed </w:t>
      </w:r>
      <w:hyperlink r:id="rId28"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 / guidelines issued on the subject up to April 7, 2022 as listed in the </w:t>
      </w:r>
      <w:hyperlink r:id="rId29" w:anchor="AP" w:history="1">
        <w:r w:rsidRPr="00470480">
          <w:rPr>
            <w:rStyle w:val="Hyperlink"/>
            <w:rFonts w:ascii="Arial" w:hAnsi="Arial" w:cs="Arial"/>
            <w:sz w:val="20"/>
            <w:szCs w:val="20"/>
          </w:rPr>
          <w:t>Appendix</w:t>
        </w:r>
      </w:hyperlink>
      <w:r w:rsidRPr="00470480">
        <w:rPr>
          <w:rFonts w:ascii="Arial" w:hAnsi="Arial" w:cs="Arial"/>
          <w:color w:val="000000"/>
          <w:sz w:val="20"/>
          <w:szCs w:val="20"/>
        </w:rPr>
        <w: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005286" w:rsidRPr="00470480" w:rsidRDefault="00005286" w:rsidP="00005286">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005286" w:rsidRPr="00470480" w:rsidRDefault="00005286" w:rsidP="00005286">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on Management of Advances – UCBs</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649"/>
        <w:gridCol w:w="7460"/>
      </w:tblGrid>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Style w:val="head1"/>
                <w:rFonts w:ascii="Arial" w:hAnsi="Arial" w:cs="Arial"/>
                <w:color w:val="000000"/>
                <w:sz w:val="20"/>
                <w:szCs w:val="20"/>
              </w:rPr>
              <w:t>Contents</w:t>
            </w:r>
          </w:p>
        </w:tc>
      </w:tr>
      <w:tr w:rsidR="00005286" w:rsidRPr="00470480" w:rsidTr="00E10CF9">
        <w:trPr>
          <w:jc w:val="center"/>
        </w:trPr>
        <w:tc>
          <w:tcPr>
            <w:tcW w:w="4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proofErr w:type="spellStart"/>
            <w:r w:rsidRPr="00470480">
              <w:rPr>
                <w:rStyle w:val="head1"/>
                <w:rFonts w:ascii="Arial" w:hAnsi="Arial" w:cs="Arial"/>
                <w:color w:val="000000"/>
                <w:sz w:val="20"/>
                <w:szCs w:val="20"/>
              </w:rPr>
              <w:t>Sl</w:t>
            </w:r>
            <w:proofErr w:type="spellEnd"/>
            <w:r w:rsidRPr="00470480">
              <w:rPr>
                <w:rStyle w:val="head1"/>
                <w:rFonts w:ascii="Arial" w:hAnsi="Arial" w:cs="Arial"/>
                <w:color w:val="000000"/>
                <w:sz w:val="20"/>
                <w:szCs w:val="20"/>
              </w:rPr>
              <w:t xml:space="preserve"> No.</w:t>
            </w:r>
          </w:p>
        </w:tc>
        <w:tc>
          <w:tcPr>
            <w:tcW w:w="4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Style w:val="head1"/>
                <w:rFonts w:ascii="Arial" w:hAnsi="Arial" w:cs="Arial"/>
                <w:color w:val="000000"/>
                <w:sz w:val="20"/>
                <w:szCs w:val="20"/>
              </w:rPr>
              <w:t>Particulars</w:t>
            </w:r>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0" w:anchor="1" w:history="1">
              <w:r w:rsidRPr="00470480">
                <w:rPr>
                  <w:rStyle w:val="Hyperlink"/>
                  <w:rFonts w:ascii="Arial" w:hAnsi="Arial" w:cs="Arial"/>
                  <w:sz w:val="20"/>
                  <w:szCs w:val="20"/>
                </w:rPr>
                <w:t>Introduction</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1" w:anchor="2" w:history="1">
              <w:r w:rsidRPr="00470480">
                <w:rPr>
                  <w:rStyle w:val="Hyperlink"/>
                  <w:rFonts w:ascii="Arial" w:hAnsi="Arial" w:cs="Arial"/>
                  <w:sz w:val="20"/>
                  <w:szCs w:val="20"/>
                </w:rPr>
                <w:t>Working Capital Requirements</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2" w:anchor="3" w:history="1">
              <w:r w:rsidRPr="00470480">
                <w:rPr>
                  <w:rStyle w:val="Hyperlink"/>
                  <w:rFonts w:ascii="Arial" w:hAnsi="Arial" w:cs="Arial"/>
                  <w:sz w:val="20"/>
                  <w:szCs w:val="20"/>
                </w:rPr>
                <w:t>Loan System for delivery of bank credit</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4</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3" w:anchor="4" w:history="1">
              <w:r w:rsidRPr="00470480">
                <w:rPr>
                  <w:rStyle w:val="Hyperlink"/>
                  <w:rFonts w:ascii="Arial" w:hAnsi="Arial" w:cs="Arial"/>
                  <w:sz w:val="20"/>
                  <w:szCs w:val="20"/>
                </w:rPr>
                <w:t>Credit Administration</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4" w:anchor="5" w:history="1">
              <w:r w:rsidRPr="00470480">
                <w:rPr>
                  <w:rStyle w:val="Hyperlink"/>
                  <w:rFonts w:ascii="Arial" w:hAnsi="Arial" w:cs="Arial"/>
                  <w:sz w:val="20"/>
                  <w:szCs w:val="20"/>
                </w:rPr>
                <w:t>Exchange of credit information</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6</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5" w:anchor="6" w:history="1">
              <w:r w:rsidRPr="00470480">
                <w:rPr>
                  <w:rStyle w:val="Hyperlink"/>
                  <w:rFonts w:ascii="Arial" w:hAnsi="Arial" w:cs="Arial"/>
                  <w:sz w:val="20"/>
                  <w:szCs w:val="20"/>
                </w:rPr>
                <w:t>Prudential Guidelines on Restructuring of Advances</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6" w:anchor="7" w:history="1">
              <w:r w:rsidRPr="00470480">
                <w:rPr>
                  <w:rStyle w:val="Hyperlink"/>
                  <w:rFonts w:ascii="Arial" w:hAnsi="Arial" w:cs="Arial"/>
                  <w:sz w:val="20"/>
                  <w:szCs w:val="20"/>
                </w:rPr>
                <w:t>Specific Lending Activities</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8</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7" w:anchor="8" w:history="1">
              <w:r w:rsidRPr="00470480">
                <w:rPr>
                  <w:rStyle w:val="Hyperlink"/>
                  <w:rFonts w:ascii="Arial" w:hAnsi="Arial" w:cs="Arial"/>
                  <w:sz w:val="20"/>
                  <w:szCs w:val="20"/>
                </w:rPr>
                <w:t>Discounting/Rediscounting of Bills by Banks</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9</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8" w:anchor="9" w:history="1">
              <w:r w:rsidRPr="00470480">
                <w:rPr>
                  <w:rStyle w:val="Hyperlink"/>
                  <w:rFonts w:ascii="Arial" w:hAnsi="Arial" w:cs="Arial"/>
                  <w:sz w:val="20"/>
                  <w:szCs w:val="20"/>
                </w:rPr>
                <w:t>Loans to Self Help Groups (SHGs) / Joint Liability Groups (JLGs)</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10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39" w:anchor="10" w:history="1">
              <w:r w:rsidRPr="00470480">
                <w:rPr>
                  <w:rStyle w:val="Hyperlink"/>
                  <w:rFonts w:ascii="Arial" w:hAnsi="Arial" w:cs="Arial"/>
                  <w:sz w:val="20"/>
                  <w:szCs w:val="20"/>
                </w:rPr>
                <w:t>Revival of Interest Tax Act, 1974</w:t>
              </w:r>
            </w:hyperlink>
          </w:p>
        </w:tc>
      </w:tr>
      <w:tr w:rsidR="00005286" w:rsidRPr="00470480" w:rsidTr="00E10CF9">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center"/>
              <w:rPr>
                <w:rFonts w:ascii="Arial" w:hAnsi="Arial" w:cs="Arial"/>
                <w:color w:val="000000"/>
                <w:sz w:val="20"/>
                <w:szCs w:val="20"/>
              </w:rPr>
            </w:pPr>
            <w:r w:rsidRPr="00470480">
              <w:rPr>
                <w:rFonts w:ascii="Arial" w:hAnsi="Arial" w:cs="Arial"/>
                <w:color w:val="000000"/>
                <w:sz w:val="20"/>
                <w:szCs w:val="20"/>
              </w:rPr>
              <w:t>11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0" w:anchor="11" w:history="1">
              <w:r w:rsidRPr="00470480">
                <w:rPr>
                  <w:rStyle w:val="Hyperlink"/>
                  <w:rFonts w:ascii="Arial" w:hAnsi="Arial" w:cs="Arial"/>
                  <w:sz w:val="20"/>
                  <w:szCs w:val="20"/>
                </w:rPr>
                <w:t>Relief measures to be extended in areas affected by natural calamities</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1" w:anchor="AN1" w:history="1">
              <w:r w:rsidRPr="00470480">
                <w:rPr>
                  <w:rStyle w:val="Hyperlink"/>
                  <w:rFonts w:ascii="Arial" w:hAnsi="Arial" w:cs="Arial"/>
                  <w:sz w:val="20"/>
                  <w:szCs w:val="20"/>
                </w:rPr>
                <w:t xml:space="preserve">Annex - 1 Guidelines on Valuation of Properties – Empanelment of </w:t>
              </w:r>
              <w:proofErr w:type="spellStart"/>
              <w:r w:rsidRPr="00470480">
                <w:rPr>
                  <w:rStyle w:val="Hyperlink"/>
                  <w:rFonts w:ascii="Arial" w:hAnsi="Arial" w:cs="Arial"/>
                  <w:sz w:val="20"/>
                  <w:szCs w:val="20"/>
                </w:rPr>
                <w:t>Valuers</w:t>
              </w:r>
              <w:proofErr w:type="spellEnd"/>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2" w:anchor="AN2" w:history="1">
              <w:r w:rsidRPr="00470480">
                <w:rPr>
                  <w:rStyle w:val="Hyperlink"/>
                  <w:rFonts w:ascii="Arial" w:hAnsi="Arial" w:cs="Arial"/>
                  <w:sz w:val="20"/>
                  <w:szCs w:val="20"/>
                </w:rPr>
                <w:t>Annex - 2 Guidelines for Relief Measures by Banks in Areas Affected by Natural Calamities</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3" w:anchor="AN3" w:history="1">
              <w:r w:rsidRPr="00470480">
                <w:rPr>
                  <w:rStyle w:val="Hyperlink"/>
                  <w:rFonts w:ascii="Arial" w:hAnsi="Arial" w:cs="Arial"/>
                  <w:sz w:val="20"/>
                  <w:szCs w:val="20"/>
                </w:rPr>
                <w:t xml:space="preserve">Annex - 3 Format for reporting of </w:t>
              </w:r>
              <w:proofErr w:type="spellStart"/>
              <w:r w:rsidRPr="00470480">
                <w:rPr>
                  <w:rStyle w:val="Hyperlink"/>
                  <w:rFonts w:ascii="Arial" w:hAnsi="Arial" w:cs="Arial"/>
                  <w:sz w:val="20"/>
                  <w:szCs w:val="20"/>
                </w:rPr>
                <w:t>borrowal</w:t>
              </w:r>
              <w:proofErr w:type="spellEnd"/>
              <w:r w:rsidRPr="00470480">
                <w:rPr>
                  <w:rStyle w:val="Hyperlink"/>
                  <w:rFonts w:ascii="Arial" w:hAnsi="Arial" w:cs="Arial"/>
                  <w:sz w:val="20"/>
                  <w:szCs w:val="20"/>
                </w:rPr>
                <w:t xml:space="preserve"> accounts classified as doubtful, loss for suit filed with outstanding of Rs.1crore and above &amp; Format for reporting of information on cases of wilful default of ₹ 25.00 lakh and above</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4" w:anchor="AN4" w:history="1">
              <w:r w:rsidRPr="00470480">
                <w:rPr>
                  <w:rStyle w:val="Hyperlink"/>
                  <w:rFonts w:ascii="Arial" w:hAnsi="Arial" w:cs="Arial"/>
                  <w:sz w:val="20"/>
                  <w:szCs w:val="20"/>
                </w:rPr>
                <w:t>Annex - 4 Definition of Micro, Small and Medium Enterprises</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5" w:anchor="AN5" w:history="1">
              <w:r w:rsidRPr="00470480">
                <w:rPr>
                  <w:rStyle w:val="Hyperlink"/>
                  <w:rFonts w:ascii="Arial" w:hAnsi="Arial" w:cs="Arial"/>
                  <w:sz w:val="20"/>
                  <w:szCs w:val="20"/>
                </w:rPr>
                <w:t>Annex - 5 Safeguards-Advances against pledge of Gold/Silver ornaments</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6" w:anchor="AN6" w:history="1">
              <w:r w:rsidRPr="00470480">
                <w:rPr>
                  <w:rStyle w:val="Hyperlink"/>
                  <w:rFonts w:ascii="Arial" w:hAnsi="Arial" w:cs="Arial"/>
                  <w:sz w:val="20"/>
                  <w:szCs w:val="20"/>
                </w:rPr>
                <w:t>Annex - 6 Recommendations of the Committee to Recommended Data Format of Credit Information to CICs</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7" w:anchor="AN7" w:history="1">
              <w:r w:rsidRPr="00470480">
                <w:rPr>
                  <w:rStyle w:val="Hyperlink"/>
                  <w:rFonts w:ascii="Arial" w:hAnsi="Arial" w:cs="Arial"/>
                  <w:sz w:val="20"/>
                  <w:szCs w:val="20"/>
                </w:rPr>
                <w:t>Annex - 7 Credit information reporting in respect of Self Help Group (SHG) members</w:t>
              </w:r>
            </w:hyperlink>
          </w:p>
        </w:tc>
      </w:tr>
      <w:tr w:rsidR="00005286" w:rsidRPr="00470480" w:rsidTr="00E10CF9">
        <w:trPr>
          <w:jc w:val="center"/>
        </w:trPr>
        <w:tc>
          <w:tcPr>
            <w:tcW w:w="0" w:type="auto"/>
            <w:gridSpan w:val="2"/>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005286" w:rsidRPr="00470480" w:rsidRDefault="00005286" w:rsidP="00E10CF9">
            <w:pPr>
              <w:jc w:val="both"/>
              <w:rPr>
                <w:rFonts w:ascii="Arial" w:hAnsi="Arial" w:cs="Arial"/>
                <w:color w:val="000000"/>
                <w:sz w:val="20"/>
                <w:szCs w:val="20"/>
              </w:rPr>
            </w:pPr>
            <w:hyperlink r:id="rId48" w:anchor="AP" w:history="1">
              <w:r w:rsidRPr="00470480">
                <w:rPr>
                  <w:rStyle w:val="Hyperlink"/>
                  <w:rFonts w:ascii="Arial" w:hAnsi="Arial" w:cs="Arial"/>
                  <w:sz w:val="20"/>
                  <w:szCs w:val="20"/>
                </w:rPr>
                <w:t>Appendix List of circulars consolidated in the Master Circular</w:t>
              </w:r>
            </w:hyperlink>
          </w:p>
        </w:tc>
      </w:tr>
    </w:tbl>
    <w:p w:rsidR="00005286" w:rsidRDefault="00005286" w:rsidP="00005286">
      <w:pPr>
        <w:pStyle w:val="NormalWeb"/>
        <w:jc w:val="both"/>
        <w:rPr>
          <w:rFonts w:ascii="Arial" w:hAnsi="Arial" w:cs="Arial"/>
          <w:color w:val="000000"/>
          <w:sz w:val="20"/>
          <w:szCs w:val="20"/>
        </w:rPr>
      </w:pPr>
    </w:p>
    <w:p w:rsidR="00005286" w:rsidRDefault="00005286" w:rsidP="00005286">
      <w:pPr>
        <w:pStyle w:val="NormalWeb"/>
        <w:jc w:val="both"/>
        <w:rPr>
          <w:rFonts w:ascii="Arial" w:hAnsi="Arial" w:cs="Arial"/>
          <w:color w:val="000000"/>
          <w:sz w:val="20"/>
          <w:szCs w:val="20"/>
        </w:rPr>
      </w:pPr>
    </w:p>
    <w:p w:rsidR="00005286" w:rsidRDefault="00005286" w:rsidP="00005286">
      <w:pPr>
        <w:pStyle w:val="NormalWeb"/>
        <w:jc w:val="both"/>
        <w:rPr>
          <w:rFonts w:ascii="Arial" w:hAnsi="Arial" w:cs="Arial"/>
          <w:color w:val="000000"/>
          <w:sz w:val="20"/>
          <w:szCs w:val="20"/>
        </w:rPr>
      </w:pPr>
      <w:r>
        <w:rPr>
          <w:rFonts w:ascii="Arial" w:hAnsi="Arial" w:cs="Arial"/>
          <w:color w:val="000000"/>
          <w:sz w:val="20"/>
          <w:szCs w:val="20"/>
        </w:rPr>
        <w:t>For details under the above mentioned headings, refer to the link below.</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49" w:history="1">
        <w:r w:rsidRPr="00470480">
          <w:rPr>
            <w:rStyle w:val="Hyperlink"/>
            <w:rFonts w:ascii="Arial" w:hAnsi="Arial" w:cs="Arial"/>
            <w:sz w:val="20"/>
            <w:szCs w:val="20"/>
          </w:rPr>
          <w:t>https://www.rbi.org.in/Scripts/NotificationUser.aspx?Id=12288&amp;Mode=0</w:t>
        </w:r>
      </w:hyperlink>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Default="00005286" w:rsidP="00005286">
      <w:pPr>
        <w:pStyle w:val="NormalWeb"/>
        <w:jc w:val="both"/>
        <w:rPr>
          <w:rFonts w:ascii="Arial" w:hAnsi="Arial" w:cs="Arial"/>
          <w:color w:val="000000"/>
          <w:sz w:val="20"/>
          <w:szCs w:val="20"/>
        </w:rPr>
      </w:pPr>
    </w:p>
    <w:p w:rsidR="00005286" w:rsidRPr="00470480" w:rsidRDefault="00005286" w:rsidP="0000528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Review of SLR holdings in HTM category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RBI/2022-23/21</w:t>
      </w:r>
      <w:r w:rsidRPr="00470480">
        <w:rPr>
          <w:rFonts w:ascii="Arial" w:hAnsi="Arial" w:cs="Arial"/>
          <w:color w:val="000000"/>
          <w:sz w:val="20"/>
          <w:szCs w:val="20"/>
        </w:rPr>
        <w:br/>
        <w:t>DOR.MRG.REC.14/21.04.141/2022-23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08,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Review of SLR holdings in HTM category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w:t>
      </w:r>
      <w:hyperlink r:id="rId50" w:tgtFrame="_blank" w:history="1">
        <w:r w:rsidRPr="00470480">
          <w:rPr>
            <w:rStyle w:val="Hyperlink"/>
            <w:rFonts w:ascii="Arial" w:hAnsi="Arial" w:cs="Arial"/>
            <w:sz w:val="20"/>
            <w:szCs w:val="20"/>
          </w:rPr>
          <w:t>Statement on Development and Regulatory Policies</w:t>
        </w:r>
      </w:hyperlink>
      <w:r w:rsidRPr="00470480">
        <w:rPr>
          <w:rFonts w:ascii="Arial" w:hAnsi="Arial" w:cs="Arial"/>
          <w:color w:val="000000"/>
          <w:sz w:val="20"/>
          <w:szCs w:val="20"/>
        </w:rPr>
        <w:t> of the </w:t>
      </w:r>
      <w:hyperlink r:id="rId51" w:tgtFrame="_blank" w:history="1">
        <w:r w:rsidRPr="00470480">
          <w:rPr>
            <w:rStyle w:val="Hyperlink"/>
            <w:rFonts w:ascii="Arial" w:hAnsi="Arial" w:cs="Arial"/>
            <w:sz w:val="20"/>
            <w:szCs w:val="20"/>
          </w:rPr>
          <w:t>Monetary Policy Statement, 2022-23 dated April 08, 2022</w:t>
        </w:r>
      </w:hyperlink>
      <w:r w:rsidRPr="00470480">
        <w:rPr>
          <w:rFonts w:ascii="Arial" w:hAnsi="Arial" w:cs="Arial"/>
          <w:color w:val="000000"/>
          <w:sz w:val="20"/>
          <w:szCs w:val="20"/>
        </w:rPr>
        <w:t> and Section 6(iv)(a) of </w:t>
      </w:r>
      <w:hyperlink r:id="rId52" w:tgtFrame="_blank" w:history="1">
        <w:r w:rsidRPr="00470480">
          <w:rPr>
            <w:rStyle w:val="Hyperlink"/>
            <w:rFonts w:ascii="Arial" w:hAnsi="Arial" w:cs="Arial"/>
            <w:sz w:val="20"/>
            <w:szCs w:val="20"/>
          </w:rPr>
          <w:t>Master Direction - Classification, Valuation and Operation of Investment Portfolio of Commercial Banks (Directions), 2021 dated August 25, 2021</w:t>
        </w:r>
      </w:hyperlink>
      <w:r w:rsidRPr="00470480">
        <w:rPr>
          <w:rFonts w:ascii="Arial" w:hAnsi="Arial" w:cs="Arial"/>
          <w:color w:val="000000"/>
          <w:sz w:val="20"/>
          <w:szCs w:val="20"/>
        </w:rPr>
        <w: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At present, banks have been granted a special dispensation of enhanced Held to Maturity (HTM) limit of 22 per cent of Net Demand and Time Liabilities (NDTL), for Statutory Liquidity Ratio (SLR) eligible securities acquired between September 1, 2020 and March 31, 2022, until March 31, 2023.</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On a review, it has now been decided to further enhance the existing HTM limit of 22 per cent of NDTL to 23 per cent of NDTL and allow banks to include securities acquired between April 1, 2022 and March 31, 2023 under the enhanced limit of 23 per cent.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The enhanced HTM limit of 23 per cent shall be restored to 19.5 percent in a phased manner, beginning from the quarter ending June 30, 2023, i.e. the excess SLR securities acquired by banks during the period September 1, 2020 to March 31, 2023 shall be progressively reduced such that the total SLR securities held in the HTM category as a percentage of the NDTL do not exceed:</w:t>
      </w:r>
    </w:p>
    <w:p w:rsidR="00005286" w:rsidRPr="00470480" w:rsidRDefault="00005286" w:rsidP="00005286">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22.00 per cent as on June 30, 2023</w:t>
      </w:r>
    </w:p>
    <w:p w:rsidR="00005286" w:rsidRPr="00470480" w:rsidRDefault="00005286" w:rsidP="00005286">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21.00 per cent as on September 30, 2023</w:t>
      </w:r>
    </w:p>
    <w:p w:rsidR="00005286" w:rsidRPr="00470480" w:rsidRDefault="00005286" w:rsidP="00005286">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20.00 per cent as on December 31, 2023</w:t>
      </w:r>
    </w:p>
    <w:p w:rsidR="00005286" w:rsidRPr="00470480" w:rsidRDefault="00005286" w:rsidP="00005286">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19.50 per cent as on March 31, 2024</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All other instructions shall remain unchanged.</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Default="00005286" w:rsidP="00005286">
      <w:pPr>
        <w:pStyle w:val="NormalWeb"/>
        <w:rPr>
          <w:rFonts w:ascii="Arial" w:hAnsi="Arial" w:cs="Arial"/>
          <w:color w:val="000000"/>
          <w:sz w:val="20"/>
          <w:szCs w:val="20"/>
        </w:rPr>
      </w:pP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3" w:history="1">
        <w:r w:rsidRPr="00470480">
          <w:rPr>
            <w:rStyle w:val="Hyperlink"/>
            <w:rFonts w:ascii="Arial" w:hAnsi="Arial" w:cs="Arial"/>
            <w:sz w:val="20"/>
            <w:szCs w:val="20"/>
          </w:rPr>
          <w:t>https://www.rbi.org.in/Scripts/NotificationUser.aspx?Id=12287&amp;Mode=0</w:t>
        </w:r>
      </w:hyperlink>
    </w:p>
    <w:p w:rsidR="00005286" w:rsidRPr="00470480" w:rsidRDefault="00005286" w:rsidP="00005286">
      <w:pPr>
        <w:pStyle w:val="NormalWeb"/>
        <w:rPr>
          <w:rFonts w:ascii="Arial" w:hAnsi="Arial" w:cs="Arial"/>
          <w:color w:val="000000"/>
          <w:sz w:val="20"/>
          <w:szCs w:val="20"/>
        </w:rPr>
      </w:pPr>
    </w:p>
    <w:p w:rsidR="00005286" w:rsidRPr="00470480" w:rsidRDefault="00005286" w:rsidP="00005286">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Individual Housing Loans – Rationalisation of Risk Weights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RBI/2022-23/20</w:t>
      </w:r>
      <w:r w:rsidRPr="00470480">
        <w:rPr>
          <w:rFonts w:ascii="Arial" w:hAnsi="Arial" w:cs="Arial"/>
          <w:color w:val="000000"/>
          <w:sz w:val="20"/>
          <w:szCs w:val="20"/>
        </w:rPr>
        <w:br/>
        <w:t>DOR.CRE.REC.13/08.12.015/2022-23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8, 2022</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Local Area Banks and Regional Rural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005286" w:rsidRPr="00470480" w:rsidRDefault="00005286" w:rsidP="00005286">
      <w:pPr>
        <w:pStyle w:val="head"/>
        <w:jc w:val="center"/>
        <w:rPr>
          <w:rFonts w:ascii="Arial" w:hAnsi="Arial" w:cs="Arial"/>
          <w:b/>
          <w:bCs/>
          <w:color w:val="000000"/>
          <w:sz w:val="20"/>
          <w:szCs w:val="20"/>
        </w:rPr>
      </w:pPr>
      <w:r w:rsidRPr="00470480">
        <w:rPr>
          <w:rFonts w:ascii="Arial" w:hAnsi="Arial" w:cs="Arial"/>
          <w:b/>
          <w:bCs/>
          <w:color w:val="000000"/>
          <w:sz w:val="20"/>
          <w:szCs w:val="20"/>
        </w:rPr>
        <w:t>Individual Housing Loans – Rationalisation of Risk Weights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w:t>
      </w:r>
      <w:hyperlink r:id="rId54" w:tgtFrame="_blank" w:history="1">
        <w:r w:rsidRPr="00470480">
          <w:rPr>
            <w:rStyle w:val="Hyperlink"/>
            <w:rFonts w:ascii="Arial" w:hAnsi="Arial" w:cs="Arial"/>
            <w:sz w:val="20"/>
            <w:szCs w:val="20"/>
          </w:rPr>
          <w:t>circular DOR.No.BP.BC.24/08.12.015/2020-21 dated October 16, 2020</w:t>
        </w:r>
      </w:hyperlink>
      <w:r w:rsidRPr="00470480">
        <w:rPr>
          <w:rFonts w:ascii="Arial" w:hAnsi="Arial" w:cs="Arial"/>
          <w:color w:val="000000"/>
          <w:sz w:val="20"/>
          <w:szCs w:val="20"/>
        </w:rPr>
        <w:t> on rationalization of risk weights on Individual Housing Loans in terms of which risk weights were rationalised irrespective of the amount, for all new housing loans sanctioned from October 16, 2020 and up to March 31,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On review, it has been decided to continue with the risk weights contained in the circular ibid for all new individual housing loans sanctioned up to March 31, 2023. All other instructions applicable in terms of the </w:t>
      </w:r>
      <w:hyperlink r:id="rId55" w:tgtFrame="_blank" w:history="1">
        <w:r w:rsidRPr="00470480">
          <w:rPr>
            <w:rStyle w:val="Hyperlink"/>
            <w:rFonts w:ascii="Arial" w:hAnsi="Arial" w:cs="Arial"/>
            <w:sz w:val="20"/>
            <w:szCs w:val="20"/>
          </w:rPr>
          <w:t>circular dated October 16, 2020</w:t>
        </w:r>
      </w:hyperlink>
      <w:r w:rsidRPr="00470480">
        <w:rPr>
          <w:rFonts w:ascii="Arial" w:hAnsi="Arial" w:cs="Arial"/>
          <w:color w:val="000000"/>
          <w:sz w:val="20"/>
          <w:szCs w:val="20"/>
        </w:rPr>
        <w:t> remain unchanged.</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005286" w:rsidRPr="00470480" w:rsidRDefault="00005286" w:rsidP="00005286">
      <w:pPr>
        <w:pStyle w:val="NormalWeb"/>
        <w:rPr>
          <w:rFonts w:ascii="Arial" w:hAnsi="Arial" w:cs="Arial"/>
          <w:color w:val="000000"/>
          <w:sz w:val="20"/>
          <w:szCs w:val="20"/>
        </w:rPr>
      </w:pP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56" w:history="1">
        <w:r w:rsidRPr="00470480">
          <w:rPr>
            <w:rStyle w:val="Hyperlink"/>
            <w:rFonts w:ascii="Arial" w:hAnsi="Arial" w:cs="Arial"/>
            <w:sz w:val="20"/>
            <w:szCs w:val="20"/>
          </w:rPr>
          <w:t>https://www.rbi.org.in/Scripts/NotificationUser.aspx?Id=12286&amp;Mode=0</w:t>
        </w:r>
      </w:hyperlink>
    </w:p>
    <w:p w:rsidR="00005286" w:rsidRPr="00470480" w:rsidRDefault="00005286" w:rsidP="00005286">
      <w:pPr>
        <w:pStyle w:val="NormalWeb"/>
        <w:rPr>
          <w:rFonts w:ascii="Arial" w:hAnsi="Arial" w:cs="Arial"/>
          <w:b/>
          <w:color w:val="000000"/>
          <w:sz w:val="20"/>
          <w:szCs w:val="20"/>
        </w:rPr>
      </w:pPr>
    </w:p>
    <w:p w:rsidR="00005286" w:rsidRPr="00470480" w:rsidRDefault="00005286" w:rsidP="00005286">
      <w:pPr>
        <w:pStyle w:val="NormalWeb"/>
        <w:rPr>
          <w:rFonts w:ascii="Arial" w:hAnsi="Arial" w:cs="Arial"/>
          <w:color w:val="000000"/>
          <w:sz w:val="20"/>
          <w:szCs w:val="20"/>
        </w:rPr>
      </w:pPr>
    </w:p>
    <w:p w:rsidR="00005286" w:rsidRPr="00470480" w:rsidRDefault="00005286" w:rsidP="00005286">
      <w:pPr>
        <w:pStyle w:val="NormalWeb"/>
        <w:jc w:val="both"/>
        <w:rPr>
          <w:rFonts w:ascii="Arial" w:hAnsi="Arial" w:cs="Arial"/>
          <w:color w:val="000000"/>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Basel III Capital Regulations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RBI/2022-23/12</w:t>
      </w:r>
      <w:r w:rsidRPr="00470480">
        <w:rPr>
          <w:rFonts w:ascii="Arial" w:hAnsi="Arial" w:cs="Arial"/>
          <w:color w:val="000000"/>
          <w:sz w:val="20"/>
          <w:szCs w:val="20"/>
        </w:rPr>
        <w:br/>
        <w:t>DOR.CAP.REC.3/21.06.201/2022-23</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All Scheduled Commercial Banks</w:t>
      </w:r>
      <w:r w:rsidRPr="00470480">
        <w:rPr>
          <w:rFonts w:ascii="Arial" w:hAnsi="Arial" w:cs="Arial"/>
          <w:color w:val="000000"/>
          <w:sz w:val="20"/>
          <w:szCs w:val="20"/>
        </w:rPr>
        <w:br/>
        <w:t>(Excluding Small Finance Banks, Payments Banks</w:t>
      </w:r>
      <w:r w:rsidRPr="00470480">
        <w:rPr>
          <w:rFonts w:ascii="Arial" w:hAnsi="Arial" w:cs="Arial"/>
          <w:color w:val="000000"/>
          <w:sz w:val="20"/>
          <w:szCs w:val="20"/>
        </w:rPr>
        <w:br/>
        <w:t>and Regional Rural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005286" w:rsidRPr="00470480" w:rsidRDefault="00005286" w:rsidP="00005286">
      <w:pPr>
        <w:pStyle w:val="NormalWeb"/>
        <w:jc w:val="center"/>
        <w:rPr>
          <w:rFonts w:ascii="Arial" w:hAnsi="Arial" w:cs="Arial"/>
          <w:color w:val="000000"/>
          <w:sz w:val="20"/>
          <w:szCs w:val="20"/>
        </w:rPr>
      </w:pPr>
      <w:r w:rsidRPr="00470480">
        <w:rPr>
          <w:rStyle w:val="Strong"/>
          <w:rFonts w:ascii="Arial" w:hAnsi="Arial" w:cs="Arial"/>
          <w:color w:val="000000"/>
          <w:sz w:val="20"/>
          <w:szCs w:val="20"/>
        </w:rPr>
        <w:t>Master Circular – Basel III Capital Regulations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7" w:tgtFrame="_blank" w:history="1">
        <w:r w:rsidRPr="00470480">
          <w:rPr>
            <w:rStyle w:val="Hyperlink"/>
            <w:rFonts w:ascii="Arial" w:hAnsi="Arial" w:cs="Arial"/>
            <w:sz w:val="20"/>
            <w:szCs w:val="20"/>
          </w:rPr>
          <w:t>Master Circular No. DBR.No.BP.BC.1/21.06.201/2015-16 dated July 1, 2015</w:t>
        </w:r>
      </w:hyperlink>
      <w:r w:rsidRPr="00470480">
        <w:rPr>
          <w:rFonts w:ascii="Arial" w:hAnsi="Arial" w:cs="Arial"/>
          <w:color w:val="000000"/>
          <w:sz w:val="20"/>
          <w:szCs w:val="20"/>
        </w:rPr>
        <w:t>, consolidating therein the prudential guidelines on Basel III capital adequacy issued to banks till June 30, 2015.</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58" w:tgtFrame="_blank"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as on date. A list of circulars consolidated in this Master Circular is contained in Annex 27.</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 </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59" w:history="1">
        <w:r w:rsidRPr="00470480">
          <w:rPr>
            <w:rStyle w:val="Hyperlink"/>
            <w:rFonts w:ascii="Arial" w:hAnsi="Arial" w:cs="Arial"/>
            <w:sz w:val="20"/>
            <w:szCs w:val="20"/>
          </w:rPr>
          <w:t>https://www.rbi.org.in/Scripts/NotificationUser.aspx?Id=12278&amp;Mode=0</w:t>
        </w:r>
      </w:hyperlink>
    </w:p>
    <w:p w:rsidR="00005286" w:rsidRPr="00470480" w:rsidRDefault="00005286" w:rsidP="00005286">
      <w:pPr>
        <w:pStyle w:val="NormalWeb"/>
        <w:jc w:val="both"/>
        <w:rPr>
          <w:rFonts w:ascii="Arial" w:hAnsi="Arial" w:cs="Arial"/>
          <w:color w:val="000000"/>
          <w:sz w:val="20"/>
          <w:szCs w:val="20"/>
        </w:rPr>
      </w:pPr>
    </w:p>
    <w:p w:rsidR="00005286" w:rsidRDefault="00005286">
      <w:r>
        <w:br w:type="page"/>
      </w: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60"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61" w:history="1">
        <w:r w:rsidRPr="00470480">
          <w:rPr>
            <w:rStyle w:val="Hyperlink"/>
            <w:rFonts w:ascii="Arial" w:hAnsi="Arial" w:cs="Arial"/>
            <w:sz w:val="20"/>
            <w:szCs w:val="20"/>
          </w:rPr>
          <w:t>https://www.rbi.org.in/Scripts/NotificationUser.aspx?Id=12264&amp;Mode=0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
        <w:br w:type="page"/>
      </w: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005286"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r>
        <w:rPr>
          <w:rFonts w:ascii="Arial" w:hAnsi="Arial" w:cs="Arial"/>
          <w:sz w:val="20"/>
          <w:szCs w:val="20"/>
        </w:rPr>
        <w:t>For more details, the reference link is provided below.</w:t>
      </w: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62" w:history="1">
        <w:r w:rsidRPr="00470480">
          <w:rPr>
            <w:rStyle w:val="Hyperlink"/>
            <w:rFonts w:ascii="Arial" w:hAnsi="Arial" w:cs="Arial"/>
            <w:sz w:val="20"/>
            <w:szCs w:val="20"/>
          </w:rPr>
          <w:t>https://www.rbi.org.in/Scripts/NotificationUser.aspx?Id=12262&amp;Mode=0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
        <w:br w:type="page"/>
      </w:r>
    </w:p>
    <w:p w:rsidR="00005286"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63"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64" w:history="1">
        <w:r w:rsidRPr="00470480">
          <w:rPr>
            <w:rStyle w:val="Hyperlink"/>
            <w:rFonts w:ascii="Arial" w:hAnsi="Arial" w:cs="Arial"/>
            <w:sz w:val="20"/>
            <w:szCs w:val="20"/>
          </w:rPr>
          <w:t>https://www.rbi.org.in/Scripts/NotificationUser.aspx?Id=12258&amp;Mode=0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
        <w:br w:type="page"/>
      </w: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To</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005286" w:rsidRPr="00470480" w:rsidRDefault="00005286" w:rsidP="00005286">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65"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005286" w:rsidRPr="00470480" w:rsidRDefault="00005286" w:rsidP="00005286">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66"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005286" w:rsidRPr="00470480" w:rsidRDefault="00005286" w:rsidP="00005286">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67"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005286" w:rsidRPr="00470480" w:rsidRDefault="00005286" w:rsidP="00005286">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68"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005286" w:rsidRPr="00470480" w:rsidRDefault="00005286" w:rsidP="00005286">
      <w:pPr>
        <w:pStyle w:val="NormalWeb"/>
        <w:numPr>
          <w:ilvl w:val="0"/>
          <w:numId w:val="5"/>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69"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70"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71"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72"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73" w:history="1">
        <w:r w:rsidRPr="00470480">
          <w:rPr>
            <w:rStyle w:val="Hyperlink"/>
            <w:rFonts w:ascii="Arial" w:hAnsi="Arial" w:cs="Arial"/>
            <w:sz w:val="20"/>
            <w:szCs w:val="20"/>
          </w:rPr>
          <w:t>https://www.rbi.org.in/Scripts/NotificationUser.aspx?Id=12228&amp;Mode=0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r>
        <w:rPr>
          <w:rFonts w:ascii="Arial" w:hAnsi="Arial" w:cs="Arial"/>
          <w:b/>
          <w:bCs/>
          <w:color w:val="000000"/>
          <w:sz w:val="20"/>
          <w:szCs w:val="20"/>
        </w:rPr>
        <w:t>Transactions in Credit Default Swap (CDS) by Foreign Portfolio Investors – Operational Instructions</w:t>
      </w:r>
      <w:r w:rsidRPr="00470480">
        <w:rPr>
          <w:rFonts w:ascii="Arial" w:hAnsi="Arial" w:cs="Arial"/>
          <w:b/>
          <w:bCs/>
          <w:color w:val="000000"/>
          <w:sz w:val="20"/>
          <w:szCs w:val="20"/>
        </w:rPr>
        <w:t xml:space="preserve"> </w:t>
      </w:r>
    </w:p>
    <w:p w:rsidR="00005286" w:rsidRDefault="00005286" w:rsidP="00005286">
      <w:pPr>
        <w:spacing w:after="0"/>
        <w:jc w:val="both"/>
        <w:rPr>
          <w:rFonts w:ascii="Arial" w:hAnsi="Arial" w:cs="Arial"/>
          <w:b/>
          <w:bCs/>
          <w:color w:val="000000"/>
          <w:sz w:val="20"/>
          <w:szCs w:val="20"/>
        </w:rPr>
      </w:pP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005286" w:rsidRPr="00274FAB" w:rsidRDefault="00005286" w:rsidP="00005286">
      <w:pPr>
        <w:pStyle w:val="NormalWeb"/>
        <w:jc w:val="right"/>
        <w:rPr>
          <w:rFonts w:ascii="Arial" w:hAnsi="Arial" w:cs="Arial"/>
          <w:sz w:val="20"/>
          <w:szCs w:val="20"/>
        </w:rPr>
      </w:pPr>
      <w:r w:rsidRPr="00274FAB">
        <w:rPr>
          <w:rFonts w:ascii="Arial" w:hAnsi="Arial" w:cs="Arial"/>
          <w:sz w:val="20"/>
          <w:szCs w:val="20"/>
        </w:rPr>
        <w:t>February 10, 2022</w:t>
      </w: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To,</w:t>
      </w: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All Authorised Persons</w:t>
      </w: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Madam / Sir</w:t>
      </w:r>
    </w:p>
    <w:p w:rsidR="00005286" w:rsidRPr="00274FAB" w:rsidRDefault="00005286" w:rsidP="00005286">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74"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75"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76"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77"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005286" w:rsidRPr="00274FAB" w:rsidRDefault="00005286" w:rsidP="00005286">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005286" w:rsidRDefault="00005286" w:rsidP="00005286">
      <w:pPr>
        <w:spacing w:after="0"/>
        <w:jc w:val="both"/>
        <w:rPr>
          <w:rFonts w:ascii="Arial" w:hAnsi="Arial" w:cs="Arial"/>
          <w:bCs/>
          <w:color w:val="000000"/>
          <w:sz w:val="20"/>
          <w:szCs w:val="20"/>
        </w:rPr>
      </w:pPr>
    </w:p>
    <w:p w:rsidR="00005286" w:rsidRDefault="00005286" w:rsidP="00005286">
      <w:pPr>
        <w:spacing w:after="0"/>
        <w:jc w:val="both"/>
        <w:rPr>
          <w:rFonts w:ascii="Arial" w:hAnsi="Arial" w:cs="Arial"/>
          <w:bCs/>
          <w:color w:val="000000"/>
          <w:sz w:val="20"/>
          <w:szCs w:val="20"/>
        </w:rPr>
      </w:pPr>
    </w:p>
    <w:p w:rsidR="00005286" w:rsidRPr="002E3BA0" w:rsidRDefault="00005286" w:rsidP="00005286">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005286" w:rsidRDefault="00005286" w:rsidP="00005286">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78" w:history="1">
        <w:r w:rsidRPr="00321241">
          <w:rPr>
            <w:rStyle w:val="Hyperlink"/>
            <w:rFonts w:ascii="Arial" w:hAnsi="Arial" w:cs="Arial"/>
            <w:bCs/>
            <w:sz w:val="20"/>
            <w:szCs w:val="20"/>
          </w:rPr>
          <w:t>https://www.rbi.org.in/Scripts/NotificationUser.aspx?Id=12227&amp;Mode=0</w:t>
        </w:r>
      </w:hyperlink>
    </w:p>
    <w:p w:rsidR="00005286" w:rsidRPr="00274FAB" w:rsidRDefault="00005286" w:rsidP="00005286">
      <w:pPr>
        <w:spacing w:after="0"/>
        <w:jc w:val="both"/>
        <w:rPr>
          <w:rFonts w:ascii="Arial" w:hAnsi="Arial" w:cs="Arial"/>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005286" w:rsidRPr="00470480" w:rsidRDefault="00005286" w:rsidP="00005286">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79"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80"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81"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82"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005286"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sz w:val="20"/>
          <w:szCs w:val="20"/>
        </w:rPr>
      </w:pPr>
      <w:r>
        <w:rPr>
          <w:rFonts w:ascii="Arial" w:hAnsi="Arial" w:cs="Arial"/>
          <w:sz w:val="20"/>
          <w:szCs w:val="20"/>
        </w:rPr>
        <w:t>For the detailed Master Direction, refer to the link below.</w:t>
      </w:r>
    </w:p>
    <w:p w:rsidR="00005286" w:rsidRPr="00470480" w:rsidRDefault="00005286" w:rsidP="00005286">
      <w:pPr>
        <w:spacing w:after="0"/>
        <w:jc w:val="both"/>
        <w:rPr>
          <w:rFonts w:ascii="Arial" w:hAnsi="Arial" w:cs="Arial"/>
          <w:sz w:val="20"/>
          <w:szCs w:val="20"/>
        </w:rPr>
      </w:pPr>
      <w:r w:rsidRPr="00470480">
        <w:rPr>
          <w:rFonts w:ascii="Arial" w:hAnsi="Arial" w:cs="Arial"/>
          <w:sz w:val="20"/>
          <w:szCs w:val="20"/>
        </w:rPr>
        <w:t xml:space="preserve">Reference Link: </w:t>
      </w:r>
      <w:hyperlink r:id="rId83" w:history="1">
        <w:r w:rsidRPr="00470480">
          <w:rPr>
            <w:rStyle w:val="Hyperlink"/>
            <w:rFonts w:ascii="Arial" w:hAnsi="Arial" w:cs="Arial"/>
            <w:sz w:val="20"/>
            <w:szCs w:val="20"/>
          </w:rPr>
          <w:t>https://www.rbi.org.in/Scripts/NotificationUser.aspx?Id=12226&amp;Mode=0</w:t>
        </w:r>
      </w:hyperlink>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Pr="00470480" w:rsidRDefault="00005286" w:rsidP="00005286">
      <w:pPr>
        <w:spacing w:after="0"/>
        <w:jc w:val="both"/>
        <w:rPr>
          <w:rFonts w:ascii="Arial" w:hAnsi="Arial" w:cs="Arial"/>
          <w:sz w:val="20"/>
          <w:szCs w:val="20"/>
        </w:rPr>
      </w:pPr>
    </w:p>
    <w:p w:rsidR="00005286" w:rsidRDefault="00005286">
      <w:r>
        <w:br w:type="page"/>
      </w:r>
    </w:p>
    <w:p w:rsidR="00005286" w:rsidRPr="00470480" w:rsidRDefault="00005286" w:rsidP="00005286">
      <w:pPr>
        <w:spacing w:after="0"/>
        <w:jc w:val="both"/>
        <w:rPr>
          <w:rFonts w:ascii="Arial" w:hAnsi="Arial" w:cs="Arial"/>
          <w:sz w:val="20"/>
          <w:szCs w:val="20"/>
        </w:rPr>
      </w:pPr>
    </w:p>
    <w:p w:rsidR="00005286" w:rsidRDefault="00005286" w:rsidP="00005286">
      <w:pPr>
        <w:spacing w:after="0"/>
        <w:jc w:val="both"/>
        <w:rPr>
          <w:rFonts w:ascii="Arial" w:hAnsi="Arial" w:cs="Arial"/>
          <w:b/>
          <w:bCs/>
          <w:color w:val="000000"/>
          <w:sz w:val="20"/>
          <w:szCs w:val="20"/>
        </w:rPr>
      </w:pPr>
    </w:p>
    <w:p w:rsidR="00005286" w:rsidRPr="00470480" w:rsidRDefault="00005286" w:rsidP="00005286">
      <w:pPr>
        <w:spacing w:after="0"/>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005286" w:rsidRPr="00470480" w:rsidRDefault="00005286" w:rsidP="00005286">
      <w:pPr>
        <w:spacing w:after="0"/>
        <w:jc w:val="both"/>
        <w:rPr>
          <w:rFonts w:ascii="Arial" w:hAnsi="Arial" w:cs="Arial"/>
          <w:b/>
          <w:bCs/>
          <w:color w:val="000000"/>
          <w:sz w:val="20"/>
          <w:szCs w:val="20"/>
        </w:rPr>
      </w:pP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RBI/2021-22/151</w:t>
      </w:r>
      <w:r w:rsidRPr="00470480">
        <w:rPr>
          <w:rFonts w:ascii="Arial" w:hAnsi="Arial" w:cs="Arial"/>
          <w:color w:val="000000"/>
          <w:sz w:val="20"/>
          <w:szCs w:val="20"/>
        </w:rPr>
        <w:br/>
        <w:t>DOR.No.PRD.LRG.79/21.04.098/2021-22</w:t>
      </w:r>
    </w:p>
    <w:p w:rsidR="00005286" w:rsidRPr="00470480" w:rsidRDefault="00005286" w:rsidP="00005286">
      <w:pPr>
        <w:pStyle w:val="NormalWeb"/>
        <w:jc w:val="right"/>
        <w:rPr>
          <w:rFonts w:ascii="Arial" w:hAnsi="Arial" w:cs="Arial"/>
          <w:color w:val="000000"/>
          <w:sz w:val="20"/>
          <w:szCs w:val="20"/>
        </w:rPr>
      </w:pPr>
      <w:r w:rsidRPr="00470480">
        <w:rPr>
          <w:rFonts w:ascii="Arial" w:hAnsi="Arial" w:cs="Arial"/>
          <w:color w:val="000000"/>
          <w:sz w:val="20"/>
          <w:szCs w:val="20"/>
        </w:rPr>
        <w:t>January 06, 2022</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005286" w:rsidRPr="00470480" w:rsidRDefault="00005286" w:rsidP="00005286">
      <w:pPr>
        <w:pStyle w:val="head"/>
        <w:jc w:val="both"/>
        <w:rPr>
          <w:rFonts w:ascii="Arial" w:hAnsi="Arial" w:cs="Arial"/>
          <w:b/>
          <w:bCs/>
          <w:color w:val="000000"/>
          <w:sz w:val="20"/>
          <w:szCs w:val="20"/>
        </w:rPr>
      </w:pPr>
      <w:r w:rsidRPr="00470480">
        <w:rPr>
          <w:rFonts w:ascii="Arial" w:hAnsi="Arial" w:cs="Arial"/>
          <w:b/>
          <w:bCs/>
          <w:color w:val="000000"/>
          <w:sz w:val="20"/>
          <w:szCs w:val="20"/>
        </w:rPr>
        <w:t>Basel III Framework on Liquidity Standards – Liquidity Coverage Ratio (LCR), Liquidity Risk Monitoring Tools and LCR Disclosure Standards and Net Stable Funding ratio – Small Business Customers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Please refer to the following instructions:</w:t>
      </w:r>
    </w:p>
    <w:p w:rsidR="00005286" w:rsidRPr="00470480" w:rsidRDefault="00005286" w:rsidP="00005286">
      <w:pPr>
        <w:pStyle w:val="NormalWeb"/>
        <w:numPr>
          <w:ilvl w:val="0"/>
          <w:numId w:val="6"/>
        </w:numPr>
        <w:ind w:left="0"/>
        <w:jc w:val="both"/>
        <w:rPr>
          <w:rFonts w:ascii="Arial" w:hAnsi="Arial" w:cs="Arial"/>
          <w:color w:val="000000"/>
          <w:sz w:val="20"/>
          <w:szCs w:val="20"/>
        </w:rPr>
      </w:pPr>
      <w:hyperlink r:id="rId84" w:tgtFrame="_blank" w:history="1">
        <w:r w:rsidRPr="00470480">
          <w:rPr>
            <w:rStyle w:val="Hyperlink"/>
            <w:rFonts w:ascii="Arial" w:hAnsi="Arial" w:cs="Arial"/>
            <w:sz w:val="20"/>
            <w:szCs w:val="20"/>
          </w:rPr>
          <w:t>Circular DBOD.BP.BC.No.120/21.04.098/2013-14 dated June 09, 2014</w:t>
        </w:r>
      </w:hyperlink>
      <w:r w:rsidRPr="00470480">
        <w:rPr>
          <w:rFonts w:ascii="Arial" w:hAnsi="Arial" w:cs="Arial"/>
          <w:color w:val="000000"/>
          <w:sz w:val="20"/>
          <w:szCs w:val="20"/>
        </w:rPr>
        <w:t> on ‘Basel III Framework on Liquidity Standards – Liquidity Coverage Ratio (LCR), Liquidity Risk Monitoring Tools and LCR Disclosure Standards’;</w:t>
      </w:r>
    </w:p>
    <w:p w:rsidR="00005286" w:rsidRPr="00470480" w:rsidRDefault="00005286" w:rsidP="00005286">
      <w:pPr>
        <w:pStyle w:val="NormalWeb"/>
        <w:numPr>
          <w:ilvl w:val="0"/>
          <w:numId w:val="6"/>
        </w:numPr>
        <w:ind w:left="0"/>
        <w:jc w:val="both"/>
        <w:rPr>
          <w:rFonts w:ascii="Arial" w:hAnsi="Arial" w:cs="Arial"/>
          <w:color w:val="000000"/>
          <w:sz w:val="20"/>
          <w:szCs w:val="20"/>
        </w:rPr>
      </w:pPr>
      <w:hyperlink r:id="rId85"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‘Standards – Net Stable Funding Ratio (NSFR) – Final Guidelines’;</w:t>
      </w:r>
    </w:p>
    <w:p w:rsidR="00005286" w:rsidRPr="00470480" w:rsidRDefault="00005286" w:rsidP="00005286">
      <w:pPr>
        <w:pStyle w:val="NormalWeb"/>
        <w:numPr>
          <w:ilvl w:val="0"/>
          <w:numId w:val="6"/>
        </w:numPr>
        <w:ind w:left="0"/>
        <w:jc w:val="both"/>
        <w:rPr>
          <w:rFonts w:ascii="Arial" w:hAnsi="Arial" w:cs="Arial"/>
          <w:color w:val="000000"/>
          <w:sz w:val="20"/>
          <w:szCs w:val="20"/>
        </w:rPr>
      </w:pPr>
      <w:hyperlink r:id="rId86" w:tgtFrame="_blank" w:history="1">
        <w:r w:rsidRPr="00470480">
          <w:rPr>
            <w:rStyle w:val="Hyperlink"/>
            <w:rFonts w:ascii="Arial" w:hAnsi="Arial" w:cs="Arial"/>
            <w:sz w:val="20"/>
            <w:szCs w:val="20"/>
          </w:rPr>
          <w:t>Circular DBR.No.BP.BC.80/21.06.201/2014-15 dated March 31, 2015</w:t>
        </w:r>
      </w:hyperlink>
      <w:r w:rsidRPr="00470480">
        <w:rPr>
          <w:rFonts w:ascii="Arial" w:hAnsi="Arial" w:cs="Arial"/>
          <w:color w:val="000000"/>
          <w:sz w:val="20"/>
          <w:szCs w:val="20"/>
        </w:rPr>
        <w:t> on ‘Prudential Guidelines on Capital Adequacy and Liquidity Standards – Amendments’; and,</w:t>
      </w:r>
    </w:p>
    <w:p w:rsidR="00005286" w:rsidRPr="00470480" w:rsidRDefault="00005286" w:rsidP="00005286">
      <w:pPr>
        <w:pStyle w:val="NormalWeb"/>
        <w:numPr>
          <w:ilvl w:val="0"/>
          <w:numId w:val="6"/>
        </w:numPr>
        <w:ind w:left="0"/>
        <w:jc w:val="both"/>
        <w:rPr>
          <w:rFonts w:ascii="Arial" w:hAnsi="Arial" w:cs="Arial"/>
          <w:color w:val="000000"/>
          <w:sz w:val="20"/>
          <w:szCs w:val="20"/>
        </w:rPr>
      </w:pPr>
      <w:hyperlink r:id="rId87" w:tgtFrame="_blank" w:history="1">
        <w:r w:rsidRPr="00470480">
          <w:rPr>
            <w:rStyle w:val="Hyperlink"/>
            <w:rFonts w:ascii="Arial" w:hAnsi="Arial" w:cs="Arial"/>
            <w:sz w:val="20"/>
            <w:szCs w:val="20"/>
          </w:rPr>
          <w:t>Circular DOR.No.BP.BC.23/21.06.201/2020-21 dated October 12, 2020</w:t>
        </w:r>
      </w:hyperlink>
      <w:r w:rsidRPr="00470480">
        <w:rPr>
          <w:rFonts w:ascii="Arial" w:hAnsi="Arial" w:cs="Arial"/>
          <w:color w:val="000000"/>
          <w:sz w:val="20"/>
          <w:szCs w:val="20"/>
        </w:rPr>
        <w:t> on ‘Regulatory Retail Portfolio – Revised Limit for Risk Weight’.</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 xml:space="preserve">2. With the objective to better align our guidelines with the BCBS standard and enable banks to manage liquidity risk more effectively, it has been decided to increase the threshold limit for deposits and other extensions of funds made by non-financial Small Business Customers </w:t>
      </w:r>
      <w:proofErr w:type="gramStart"/>
      <w:r w:rsidRPr="00470480">
        <w:rPr>
          <w:rFonts w:ascii="Arial" w:hAnsi="Arial" w:cs="Arial"/>
          <w:color w:val="000000"/>
          <w:sz w:val="20"/>
          <w:szCs w:val="20"/>
        </w:rPr>
        <w:t>from ₹ 5</w:t>
      </w:r>
      <w:proofErr w:type="gramEnd"/>
      <w:r w:rsidRPr="00470480">
        <w:rPr>
          <w:rFonts w:ascii="Arial" w:hAnsi="Arial" w:cs="Arial"/>
          <w:color w:val="000000"/>
          <w:sz w:val="20"/>
          <w:szCs w:val="20"/>
        </w:rPr>
        <w:t xml:space="preserve"> crore to ₹ 7.5 crore for the purpose of maintenance of Liquidity Coverage Ratio (LCR).</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3. The above modification is also applicable to deposits and other extensions of funds received from Small Business Customers referred to in the </w:t>
      </w:r>
      <w:hyperlink r:id="rId88" w:tgtFrame="_blank" w:history="1">
        <w:r w:rsidRPr="00470480">
          <w:rPr>
            <w:rStyle w:val="Hyperlink"/>
            <w:rFonts w:ascii="Arial" w:hAnsi="Arial" w:cs="Arial"/>
            <w:sz w:val="20"/>
            <w:szCs w:val="20"/>
          </w:rPr>
          <w:t>circular DBR.BP.BC.No.106/21.04.098/2017-18 dated May 17, 2018</w:t>
        </w:r>
      </w:hyperlink>
      <w:r w:rsidRPr="00470480">
        <w:rPr>
          <w:rFonts w:ascii="Arial" w:hAnsi="Arial" w:cs="Arial"/>
          <w:color w:val="000000"/>
          <w:sz w:val="20"/>
          <w:szCs w:val="20"/>
        </w:rPr>
        <w:t> on ‘Basel III Framework on Liquidity Standards – Net Stable Funding Ratio (NSFR) – Final Guidelines’.</w:t>
      </w:r>
    </w:p>
    <w:p w:rsidR="00005286" w:rsidRPr="00470480" w:rsidRDefault="00005286" w:rsidP="00005286">
      <w:pPr>
        <w:pStyle w:val="NormalWeb"/>
        <w:jc w:val="both"/>
        <w:rPr>
          <w:rFonts w:ascii="Arial" w:hAnsi="Arial" w:cs="Arial"/>
          <w:color w:val="000000"/>
          <w:sz w:val="20"/>
          <w:szCs w:val="20"/>
        </w:rPr>
      </w:pPr>
      <w:r w:rsidRPr="00470480">
        <w:rPr>
          <w:rFonts w:ascii="Arial" w:hAnsi="Arial" w:cs="Arial"/>
          <w:color w:val="000000"/>
          <w:sz w:val="20"/>
          <w:szCs w:val="20"/>
        </w:rPr>
        <w:t>4. The revised paragraphs after incorporating the above changes in the relevant circulars is given in </w:t>
      </w:r>
      <w:hyperlink r:id="rId89"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005286" w:rsidRDefault="00005286" w:rsidP="00005286">
      <w:pPr>
        <w:pStyle w:val="NormalWeb"/>
        <w:spacing w:before="0" w:beforeAutospacing="0" w:after="0" w:afterAutospacing="0"/>
        <w:rPr>
          <w:rFonts w:ascii="Arial" w:hAnsi="Arial" w:cs="Arial"/>
          <w:color w:val="000000"/>
          <w:sz w:val="20"/>
          <w:szCs w:val="20"/>
        </w:rPr>
      </w:pPr>
    </w:p>
    <w:p w:rsidR="00005286" w:rsidRDefault="00005286" w:rsidP="00005286">
      <w:pPr>
        <w:pStyle w:val="NormalWeb"/>
        <w:spacing w:before="0" w:beforeAutospacing="0" w:after="0" w:afterAutospacing="0"/>
        <w:rPr>
          <w:rFonts w:ascii="Arial" w:hAnsi="Arial" w:cs="Arial"/>
          <w:color w:val="000000"/>
          <w:sz w:val="20"/>
          <w:szCs w:val="20"/>
        </w:rPr>
      </w:pPr>
    </w:p>
    <w:p w:rsidR="00005286" w:rsidRPr="00470480" w:rsidRDefault="00005286" w:rsidP="0000528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information on ‘Applicability’, refer to the link below.</w:t>
      </w:r>
    </w:p>
    <w:p w:rsidR="00005286" w:rsidRPr="00470480" w:rsidRDefault="00005286" w:rsidP="00005286">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90" w:history="1">
        <w:r w:rsidRPr="00470480">
          <w:rPr>
            <w:rStyle w:val="Hyperlink"/>
            <w:rFonts w:ascii="Arial" w:hAnsi="Arial" w:cs="Arial"/>
            <w:sz w:val="20"/>
            <w:szCs w:val="20"/>
          </w:rPr>
          <w:t>https://www.rbi.org.in/Scripts/NotificationUser.aspx?Id=12220&amp;Mode=0</w:t>
        </w:r>
      </w:hyperlink>
    </w:p>
    <w:p w:rsidR="00005286" w:rsidRDefault="00005286" w:rsidP="00005286">
      <w:pPr>
        <w:pStyle w:val="NormalWeb"/>
        <w:rPr>
          <w:rFonts w:ascii="Arial" w:hAnsi="Arial" w:cs="Arial"/>
          <w:b/>
          <w:bCs/>
          <w:color w:val="000000"/>
          <w:sz w:val="20"/>
          <w:szCs w:val="20"/>
        </w:rPr>
      </w:pPr>
    </w:p>
    <w:p w:rsidR="00005286" w:rsidRDefault="00005286" w:rsidP="00005286">
      <w:pPr>
        <w:pStyle w:val="NormalWeb"/>
        <w:rPr>
          <w:rFonts w:ascii="Arial" w:hAnsi="Arial" w:cs="Arial"/>
          <w:b/>
          <w:bCs/>
          <w:color w:val="000000"/>
          <w:sz w:val="20"/>
          <w:szCs w:val="20"/>
        </w:rPr>
      </w:pPr>
    </w:p>
    <w:p w:rsidR="00005286" w:rsidRDefault="00005286" w:rsidP="00005286">
      <w:pPr>
        <w:pStyle w:val="NormalWeb"/>
        <w:rPr>
          <w:rFonts w:ascii="Arial" w:hAnsi="Arial" w:cs="Arial"/>
          <w:b/>
          <w:bCs/>
          <w:color w:val="000000"/>
          <w:sz w:val="20"/>
          <w:szCs w:val="20"/>
        </w:rPr>
      </w:pPr>
    </w:p>
    <w:p w:rsidR="00005286" w:rsidRPr="00005286" w:rsidRDefault="00005286" w:rsidP="00005286"/>
    <w:sectPr w:rsidR="00005286" w:rsidRPr="00005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95496"/>
    <w:multiLevelType w:val="multilevel"/>
    <w:tmpl w:val="AD6810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6167CAA"/>
    <w:multiLevelType w:val="hybridMultilevel"/>
    <w:tmpl w:val="B6E88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81C5FEC"/>
    <w:multiLevelType w:val="multilevel"/>
    <w:tmpl w:val="4022A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1AA4A3E"/>
    <w:multiLevelType w:val="multilevel"/>
    <w:tmpl w:val="E0CEC1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86"/>
    <w:rsid w:val="00005286"/>
    <w:rsid w:val="009B1A72"/>
    <w:rsid w:val="00E63E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A37D"/>
  <w15:chartTrackingRefBased/>
  <w15:docId w15:val="{1709B697-454B-4BD3-9C78-1A6F263D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28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0052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05286"/>
    <w:rPr>
      <w:color w:val="0000FF"/>
      <w:u w:val="single"/>
    </w:rPr>
  </w:style>
  <w:style w:type="character" w:customStyle="1" w:styleId="head1">
    <w:name w:val="head1"/>
    <w:basedOn w:val="DefaultParagraphFont"/>
    <w:rsid w:val="00005286"/>
  </w:style>
  <w:style w:type="character" w:styleId="Strong">
    <w:name w:val="Strong"/>
    <w:basedOn w:val="DefaultParagraphFont"/>
    <w:uiPriority w:val="22"/>
    <w:qFormat/>
    <w:rsid w:val="00005286"/>
    <w:rPr>
      <w:b/>
      <w:bCs/>
    </w:rPr>
  </w:style>
  <w:style w:type="table" w:styleId="TableGrid">
    <w:name w:val="Table Grid"/>
    <w:basedOn w:val="TableNormal"/>
    <w:uiPriority w:val="39"/>
    <w:rsid w:val="00005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1849&amp;Mode=0" TargetMode="External"/><Relationship Id="rId18" Type="http://schemas.openxmlformats.org/officeDocument/2006/relationships/hyperlink" Target="https://www.rbi.org.in/Scripts/NotificationUser.aspx?Id=12295&amp;Mode=0" TargetMode="External"/><Relationship Id="rId26" Type="http://schemas.openxmlformats.org/officeDocument/2006/relationships/hyperlink" Target="https://www.rbi.org.in/Scripts/NotificationUser.aspx?Id=12291&amp;Mode=0" TargetMode="External"/><Relationship Id="rId39" Type="http://schemas.openxmlformats.org/officeDocument/2006/relationships/hyperlink" Target="https://www.rbi.org.in/Scripts/NotificationUser.aspx?Id=12288&amp;Mode=0" TargetMode="External"/><Relationship Id="rId21" Type="http://schemas.openxmlformats.org/officeDocument/2006/relationships/hyperlink" Target="https://www.rbi.org.in/Scripts/NotificationUser.aspx?Id=12294&amp;Mode=0" TargetMode="External"/><Relationship Id="rId34" Type="http://schemas.openxmlformats.org/officeDocument/2006/relationships/hyperlink" Target="https://www.rbi.org.in/Scripts/NotificationUser.aspx?Id=12288&amp;Mode=0" TargetMode="External"/><Relationship Id="rId42" Type="http://schemas.openxmlformats.org/officeDocument/2006/relationships/hyperlink" Target="https://www.rbi.org.in/Scripts/NotificationUser.aspx?Id=12288&amp;Mode=0" TargetMode="External"/><Relationship Id="rId47" Type="http://schemas.openxmlformats.org/officeDocument/2006/relationships/hyperlink" Target="https://www.rbi.org.in/Scripts/NotificationUser.aspx?Id=12288&amp;Mode=0" TargetMode="External"/><Relationship Id="rId50" Type="http://schemas.openxmlformats.org/officeDocument/2006/relationships/hyperlink" Target="https://www.rbi.org.in/Scripts/BS_PressReleaseDisplay.aspx?prid=53536" TargetMode="External"/><Relationship Id="rId55" Type="http://schemas.openxmlformats.org/officeDocument/2006/relationships/hyperlink" Target="https://rbi.org.in/Scripts/NotificationUser.aspx?Id=11984&amp;Mode=0" TargetMode="External"/><Relationship Id="rId63" Type="http://schemas.openxmlformats.org/officeDocument/2006/relationships/hyperlink" Target="https://rbi.org.in/Scripts/BS_ViewMasDirections.aspx?id=12153" TargetMode="External"/><Relationship Id="rId68" Type="http://schemas.openxmlformats.org/officeDocument/2006/relationships/hyperlink" Target="https://www.rbi.org.in/Scripts/NotificationUser.aspx?Id=12099&amp;Mode=0" TargetMode="External"/><Relationship Id="rId76" Type="http://schemas.openxmlformats.org/officeDocument/2006/relationships/hyperlink" Target="https://www.rbi.org.in/Scripts/NotificationUser.aspx?Id=12102&amp;Mode=0" TargetMode="External"/><Relationship Id="rId84" Type="http://schemas.openxmlformats.org/officeDocument/2006/relationships/hyperlink" Target="https://www.rbi.org.in/Scripts/NotificationUser.aspx?Id=8934&amp;Mode=0" TargetMode="External"/><Relationship Id="rId89" Type="http://schemas.openxmlformats.org/officeDocument/2006/relationships/hyperlink" Target="https://www.rbi.org.in/Scripts/NotificationUser.aspx?Id=12220&amp;Mode=0" TargetMode="External"/><Relationship Id="rId7" Type="http://schemas.openxmlformats.org/officeDocument/2006/relationships/hyperlink" Target="https://www.rbi.org.in/Scripts/NotificationUser.aspx?Id=12158&amp;Mode=0" TargetMode="External"/><Relationship Id="rId71" Type="http://schemas.openxmlformats.org/officeDocument/2006/relationships/hyperlink" Target="https://www.rbi.org.in/Scripts/NotificationUser.aspx?Id=11798&amp;Mode=0"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bi.org.in/Scripts/NotificationUser.aspx?Id=12227&amp;Mode=0" TargetMode="External"/><Relationship Id="rId29" Type="http://schemas.openxmlformats.org/officeDocument/2006/relationships/hyperlink" Target="https://www.rbi.org.in/Scripts/NotificationUser.aspx?Id=12288&amp;Mode=0" TargetMode="External"/><Relationship Id="rId11" Type="http://schemas.openxmlformats.org/officeDocument/2006/relationships/hyperlink" Target="https://www.rbi.org.in/Scripts/NotificationUser.aspx?Id=12296&amp;Mode=0" TargetMode="External"/><Relationship Id="rId24" Type="http://schemas.openxmlformats.org/officeDocument/2006/relationships/hyperlink" Target="https://www.rbi.org.in/Scripts/NotificationUser.aspx?Id=12292&amp;Mode=0" TargetMode="External"/><Relationship Id="rId32" Type="http://schemas.openxmlformats.org/officeDocument/2006/relationships/hyperlink" Target="https://www.rbi.org.in/Scripts/NotificationUser.aspx?Id=12288&amp;Mode=0" TargetMode="External"/><Relationship Id="rId37" Type="http://schemas.openxmlformats.org/officeDocument/2006/relationships/hyperlink" Target="https://www.rbi.org.in/Scripts/NotificationUser.aspx?Id=12288&amp;Mode=0" TargetMode="External"/><Relationship Id="rId40" Type="http://schemas.openxmlformats.org/officeDocument/2006/relationships/hyperlink" Target="https://www.rbi.org.in/Scripts/NotificationUser.aspx?Id=12288&amp;Mode=0" TargetMode="External"/><Relationship Id="rId45" Type="http://schemas.openxmlformats.org/officeDocument/2006/relationships/hyperlink" Target="https://www.rbi.org.in/Scripts/NotificationUser.aspx?Id=12288&amp;Mode=0" TargetMode="External"/><Relationship Id="rId53" Type="http://schemas.openxmlformats.org/officeDocument/2006/relationships/hyperlink" Target="https://www.rbi.org.in/Scripts/NotificationUser.aspx?Id=12287&amp;Mode=0" TargetMode="External"/><Relationship Id="rId58" Type="http://schemas.openxmlformats.org/officeDocument/2006/relationships/hyperlink" Target="https://rbidocs.rbi.org.in/rdocs/content/pdfs/12MCBaselIII05042022_A.pdf" TargetMode="External"/><Relationship Id="rId66" Type="http://schemas.openxmlformats.org/officeDocument/2006/relationships/hyperlink" Target="https://www.rbi.org.in/Scripts/BS_FemaNotifications.aspx?Id=155" TargetMode="External"/><Relationship Id="rId74" Type="http://schemas.openxmlformats.org/officeDocument/2006/relationships/hyperlink" Target="https://www.rbi.org.in/Scripts/NotificationUser.aspx?Id=12099&amp;Mode=0" TargetMode="External"/><Relationship Id="rId79" Type="http://schemas.openxmlformats.org/officeDocument/2006/relationships/hyperlink" Target="https://rbi.org.in/Scripts/BS_PressReleaseDisplay.aspx?prid=53248" TargetMode="External"/><Relationship Id="rId87" Type="http://schemas.openxmlformats.org/officeDocument/2006/relationships/hyperlink" Target="https://www.rbi.org.in/Scripts/NotificationUser.aspx?Id=11981&amp;Mode=0" TargetMode="External"/><Relationship Id="rId5" Type="http://schemas.openxmlformats.org/officeDocument/2006/relationships/hyperlink" Target="https://www.rbi.org.in/Scripts/NotificationUser.aspx?Id=12158&amp;Mode=0" TargetMode="External"/><Relationship Id="rId61" Type="http://schemas.openxmlformats.org/officeDocument/2006/relationships/hyperlink" Target="https://www.rbi.org.in/Scripts/NotificationUser.aspx?Id=12264&amp;Mode=0" TargetMode="External"/><Relationship Id="rId82" Type="http://schemas.openxmlformats.org/officeDocument/2006/relationships/hyperlink" Target="https://www.rbi.org.in/Scripts/NotificationUser.aspx?Id=12226&amp;Mode=0" TargetMode="External"/><Relationship Id="rId90" Type="http://schemas.openxmlformats.org/officeDocument/2006/relationships/hyperlink" Target="https://www.rbi.org.in/Scripts/NotificationUser.aspx?Id=12220&amp;Mode=0" TargetMode="External"/><Relationship Id="rId19" Type="http://schemas.openxmlformats.org/officeDocument/2006/relationships/hyperlink" Target="https://www.rbi.org.in/Scripts/NotificationUser.aspx?Id=12179&amp;Mode=0" TargetMode="External"/><Relationship Id="rId14" Type="http://schemas.openxmlformats.org/officeDocument/2006/relationships/hyperlink" Target="https://www.rbi.org.in/Scripts/NotificationUser.aspx?Id=11850&amp;Mode=0" TargetMode="External"/><Relationship Id="rId22" Type="http://schemas.openxmlformats.org/officeDocument/2006/relationships/hyperlink" Target="https://www.rbi.org.in/Scripts/NotificationUser.aspx?Id=12179&amp;Mode=0" TargetMode="External"/><Relationship Id="rId27" Type="http://schemas.openxmlformats.org/officeDocument/2006/relationships/hyperlink" Target="https://rbi.org.in/Scripts/BS_ViewMasCirculardetails.aspx?id=9880" TargetMode="External"/><Relationship Id="rId30" Type="http://schemas.openxmlformats.org/officeDocument/2006/relationships/hyperlink" Target="https://www.rbi.org.in/Scripts/NotificationUser.aspx?Id=12288&amp;Mode=0" TargetMode="External"/><Relationship Id="rId35" Type="http://schemas.openxmlformats.org/officeDocument/2006/relationships/hyperlink" Target="https://www.rbi.org.in/Scripts/NotificationUser.aspx?Id=12288&amp;Mode=0" TargetMode="External"/><Relationship Id="rId43" Type="http://schemas.openxmlformats.org/officeDocument/2006/relationships/hyperlink" Target="https://www.rbi.org.in/Scripts/NotificationUser.aspx?Id=12288&amp;Mode=0" TargetMode="External"/><Relationship Id="rId48" Type="http://schemas.openxmlformats.org/officeDocument/2006/relationships/hyperlink" Target="https://www.rbi.org.in/Scripts/NotificationUser.aspx?Id=12288&amp;Mode=0" TargetMode="External"/><Relationship Id="rId56" Type="http://schemas.openxmlformats.org/officeDocument/2006/relationships/hyperlink" Target="https://www.rbi.org.in/Scripts/NotificationUser.aspx?Id=12286&amp;Mode=0" TargetMode="External"/><Relationship Id="rId64" Type="http://schemas.openxmlformats.org/officeDocument/2006/relationships/hyperlink" Target="https://www.rbi.org.in/Scripts/NotificationUser.aspx?Id=12258&amp;Mode=0" TargetMode="External"/><Relationship Id="rId69" Type="http://schemas.openxmlformats.org/officeDocument/2006/relationships/hyperlink" Target="https://www.rbi.org.in/Scripts/BS_FemaNotifications.aspx?Id=179" TargetMode="External"/><Relationship Id="rId77" Type="http://schemas.openxmlformats.org/officeDocument/2006/relationships/hyperlink" Target="https://www.rbi.org.in/Scripts/BS_ViewMasDirections.aspx?id=12226" TargetMode="External"/><Relationship Id="rId8" Type="http://schemas.openxmlformats.org/officeDocument/2006/relationships/hyperlink" Target="https://www.rbi.org.in/Scripts/NotificationUser.aspx?Id=12322&amp;Mode=0" TargetMode="External"/><Relationship Id="rId51" Type="http://schemas.openxmlformats.org/officeDocument/2006/relationships/hyperlink" Target="https://www.rbi.org.in/Scripts/BS_PressReleaseDisplay.aspx?prid=53537" TargetMode="External"/><Relationship Id="rId72" Type="http://schemas.openxmlformats.org/officeDocument/2006/relationships/hyperlink" Target="https://www.rbi.org.in/Scripts/NotificationUser.aspx?Id=12228&amp;Mode=0" TargetMode="External"/><Relationship Id="rId80" Type="http://schemas.openxmlformats.org/officeDocument/2006/relationships/hyperlink" Target="https://rbi.org.in/Scripts/BS_PressReleaseDisplay.aspx?prid=53247" TargetMode="External"/><Relationship Id="rId85" Type="http://schemas.openxmlformats.org/officeDocument/2006/relationships/hyperlink" Target="https://www.rbi.org.in/Scripts/NotificationUser.aspx?Id=11278&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099&amp;Mode=0" TargetMode="External"/><Relationship Id="rId17" Type="http://schemas.openxmlformats.org/officeDocument/2006/relationships/hyperlink" Target="https://www.rbi.org.in/Scripts/NotificationUser.aspx?Id=11849&amp;Mode=0" TargetMode="External"/><Relationship Id="rId25" Type="http://schemas.openxmlformats.org/officeDocument/2006/relationships/hyperlink" Target="https://www.rbi.org.in/Scripts/NotificationUser.aspx?Id=11870&amp;Mode=0" TargetMode="External"/><Relationship Id="rId33" Type="http://schemas.openxmlformats.org/officeDocument/2006/relationships/hyperlink" Target="https://www.rbi.org.in/Scripts/NotificationUser.aspx?Id=12288&amp;Mode=0" TargetMode="External"/><Relationship Id="rId38" Type="http://schemas.openxmlformats.org/officeDocument/2006/relationships/hyperlink" Target="https://www.rbi.org.in/Scripts/NotificationUser.aspx?Id=12288&amp;Mode=0" TargetMode="External"/><Relationship Id="rId46" Type="http://schemas.openxmlformats.org/officeDocument/2006/relationships/hyperlink" Target="https://www.rbi.org.in/Scripts/NotificationUser.aspx?Id=12288&amp;Mode=0" TargetMode="External"/><Relationship Id="rId59" Type="http://schemas.openxmlformats.org/officeDocument/2006/relationships/hyperlink" Target="https://www.rbi.org.in/Scripts/NotificationUser.aspx?Id=12278&amp;Mode=0" TargetMode="External"/><Relationship Id="rId67" Type="http://schemas.openxmlformats.org/officeDocument/2006/relationships/hyperlink" Target="https://www.rbi.org.in/Scripts/NotificationUser.aspx?Id=11441&amp;Mode=0" TargetMode="External"/><Relationship Id="rId20" Type="http://schemas.openxmlformats.org/officeDocument/2006/relationships/hyperlink" Target="https://www.rbi.org.in/Scripts/NotificationUser.aspx?Id=12294&amp;Mode=0" TargetMode="External"/><Relationship Id="rId41" Type="http://schemas.openxmlformats.org/officeDocument/2006/relationships/hyperlink" Target="https://www.rbi.org.in/Scripts/NotificationUser.aspx?Id=12288&amp;Mode=0" TargetMode="External"/><Relationship Id="rId54" Type="http://schemas.openxmlformats.org/officeDocument/2006/relationships/hyperlink" Target="https://rbi.org.in/Scripts/NotificationUser.aspx?Id=11984&amp;Mode=0" TargetMode="External"/><Relationship Id="rId62" Type="http://schemas.openxmlformats.org/officeDocument/2006/relationships/hyperlink" Target="https://www.rbi.org.in/Scripts/NotificationUser.aspx?Id=12262&amp;Mode=0" TargetMode="External"/><Relationship Id="rId70" Type="http://schemas.openxmlformats.org/officeDocument/2006/relationships/hyperlink" Target="https://www.rbi.org.in/Scripts/NotificationUser.aspx?Id=11561&amp;Mode=0" TargetMode="External"/><Relationship Id="rId75" Type="http://schemas.openxmlformats.org/officeDocument/2006/relationships/hyperlink" Target="https://www.rbi.org.in/Scripts/NotificationUser.aspx?Id=11303&amp;Mode=0" TargetMode="External"/><Relationship Id="rId83" Type="http://schemas.openxmlformats.org/officeDocument/2006/relationships/hyperlink" Target="https://www.rbi.org.in/Scripts/NotificationUser.aspx?Id=12226&amp;Mode=0" TargetMode="External"/><Relationship Id="rId88" Type="http://schemas.openxmlformats.org/officeDocument/2006/relationships/hyperlink" Target="https://www.rbi.org.in/Scripts/NotificationUser.aspx?Id=11278&amp;Mode=0"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2322&amp;Mode=0" TargetMode="External"/><Relationship Id="rId15" Type="http://schemas.openxmlformats.org/officeDocument/2006/relationships/hyperlink" Target="https://www.rbi.org.in/Scripts/NotificationUser.aspx?Id=12102&amp;Mode=0" TargetMode="External"/><Relationship Id="rId23" Type="http://schemas.openxmlformats.org/officeDocument/2006/relationships/hyperlink" Target="https://rbidocs.rbi.org.in/rdocs/content/pdfs/NOTI26_AN.pdf" TargetMode="External"/><Relationship Id="rId28" Type="http://schemas.openxmlformats.org/officeDocument/2006/relationships/hyperlink" Target="https://www.rbi.org.in/Scripts/NotificationUser.aspx?Id=12288&amp;Mode=0" TargetMode="External"/><Relationship Id="rId36" Type="http://schemas.openxmlformats.org/officeDocument/2006/relationships/hyperlink" Target="https://www.rbi.org.in/Scripts/NotificationUser.aspx?Id=12288&amp;Mode=0" TargetMode="External"/><Relationship Id="rId49" Type="http://schemas.openxmlformats.org/officeDocument/2006/relationships/hyperlink" Target="https://www.rbi.org.in/Scripts/NotificationUser.aspx?Id=12288&amp;Mode=0" TargetMode="External"/><Relationship Id="rId57" Type="http://schemas.openxmlformats.org/officeDocument/2006/relationships/hyperlink" Target="https://www.rbi.org.in/Scripts/BS_ViewMasCirculardetails.aspx?id=9859" TargetMode="External"/><Relationship Id="rId10" Type="http://schemas.openxmlformats.org/officeDocument/2006/relationships/image" Target="media/image1.jpeg"/><Relationship Id="rId31" Type="http://schemas.openxmlformats.org/officeDocument/2006/relationships/hyperlink" Target="https://www.rbi.org.in/Scripts/NotificationUser.aspx?Id=12288&amp;Mode=0" TargetMode="External"/><Relationship Id="rId44" Type="http://schemas.openxmlformats.org/officeDocument/2006/relationships/hyperlink" Target="https://www.rbi.org.in/Scripts/NotificationUser.aspx?Id=12288&amp;Mode=0" TargetMode="External"/><Relationship Id="rId52" Type="http://schemas.openxmlformats.org/officeDocument/2006/relationships/hyperlink" Target="https://www.rbi.org.in/Scripts/BS_ViewMasDirections.aspx?id=12153" TargetMode="External"/><Relationship Id="rId60" Type="http://schemas.openxmlformats.org/officeDocument/2006/relationships/hyperlink" Target="https://www.rbi.org.in/Scripts/BS_ViewMasDirections.aspx?id=12153" TargetMode="External"/><Relationship Id="rId65" Type="http://schemas.openxmlformats.org/officeDocument/2006/relationships/hyperlink" Target="https://www.rbi.org.in/Scripts/BS_PressReleaseDisplay.aspx?prid=53248" TargetMode="External"/><Relationship Id="rId73" Type="http://schemas.openxmlformats.org/officeDocument/2006/relationships/hyperlink" Target="https://www.rbi.org.in/Scripts/NotificationUser.aspx?Id=12228&amp;Mode=0" TargetMode="External"/><Relationship Id="rId78" Type="http://schemas.openxmlformats.org/officeDocument/2006/relationships/hyperlink" Target="https://www.rbi.org.in/Scripts/NotificationUser.aspx?Id=12227&amp;Mode=0" TargetMode="External"/><Relationship Id="rId81" Type="http://schemas.openxmlformats.org/officeDocument/2006/relationships/hyperlink" Target="https://rbi.org.in/Scripts/BS_PressReleaseDisplay.aspx?prid=51138" TargetMode="External"/><Relationship Id="rId86" Type="http://schemas.openxmlformats.org/officeDocument/2006/relationships/hyperlink" Target="https://www.rbi.org.in/Scripts/NotificationUser.aspx?Id=9631&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17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5589</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2022-08-05T08:52:00Z</dcterms:created>
  <dcterms:modified xsi:type="dcterms:W3CDTF">2022-08-05T09:06:00Z</dcterms:modified>
</cp:coreProperties>
</file>